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52" w:type="pct"/>
        <w:tblLook w:val="01E0" w:firstRow="1" w:lastRow="1" w:firstColumn="1" w:lastColumn="1" w:noHBand="0" w:noVBand="0"/>
      </w:tblPr>
      <w:tblGrid>
        <w:gridCol w:w="3429"/>
        <w:gridCol w:w="5919"/>
      </w:tblGrid>
      <w:tr w:rsidR="00410B82" w:rsidRPr="00A0567C" w:rsidTr="00C058A1">
        <w:trPr>
          <w:trHeight w:val="1408"/>
        </w:trPr>
        <w:tc>
          <w:tcPr>
            <w:tcW w:w="1834" w:type="pct"/>
          </w:tcPr>
          <w:p w:rsidR="00410B82" w:rsidRPr="00A0567C" w:rsidRDefault="00410B82" w:rsidP="00C058A1">
            <w:pPr>
              <w:jc w:val="center"/>
              <w:rPr>
                <w:b/>
                <w:bCs/>
                <w:iCs/>
                <w:sz w:val="26"/>
                <w:szCs w:val="26"/>
                <w:lang w:val="sv-SE"/>
              </w:rPr>
            </w:pPr>
            <w:bookmarkStart w:id="0" w:name="_GoBack"/>
            <w:r w:rsidRPr="00A0567C">
              <w:rPr>
                <w:b/>
                <w:bCs/>
                <w:iCs/>
                <w:sz w:val="26"/>
                <w:szCs w:val="26"/>
                <w:lang w:val="sv-SE"/>
              </w:rPr>
              <w:t>ỦY BAN NHÂN DÂN</w:t>
            </w:r>
          </w:p>
          <w:p w:rsidR="00410B82" w:rsidRPr="00A0567C" w:rsidRDefault="00410B82" w:rsidP="00C058A1">
            <w:pPr>
              <w:jc w:val="center"/>
              <w:rPr>
                <w:bCs/>
                <w:iCs/>
                <w:sz w:val="26"/>
                <w:szCs w:val="26"/>
                <w:lang w:val="sv-SE"/>
              </w:rPr>
            </w:pPr>
            <w:r w:rsidRPr="00A0567C">
              <w:rPr>
                <w:b/>
                <w:bCs/>
                <w:iCs/>
                <w:sz w:val="26"/>
                <w:szCs w:val="26"/>
                <w:lang w:val="sv-SE"/>
              </w:rPr>
              <w:t>TỈNH TUYÊN QUANG</w:t>
            </w:r>
          </w:p>
          <w:p w:rsidR="00410B82" w:rsidRPr="00A0567C" w:rsidRDefault="00410B82" w:rsidP="00C058A1">
            <w:pPr>
              <w:jc w:val="center"/>
              <w:rPr>
                <w:iCs/>
                <w:sz w:val="28"/>
                <w:szCs w:val="28"/>
              </w:rPr>
            </w:pPr>
            <w:r w:rsidRPr="00A0567C">
              <w:rPr>
                <w:noProof/>
                <w:sz w:val="28"/>
                <w:szCs w:val="28"/>
                <w:lang w:val="en-US" w:eastAsia="en-US"/>
              </w:rPr>
              <mc:AlternateContent>
                <mc:Choice Requires="wps">
                  <w:drawing>
                    <wp:anchor distT="0" distB="0" distL="114300" distR="114300" simplePos="0" relativeHeight="251661312" behindDoc="0" locked="0" layoutInCell="1" allowOverlap="1" wp14:anchorId="0D0C50AF" wp14:editId="2C7FFC74">
                      <wp:simplePos x="0" y="0"/>
                      <wp:positionH relativeFrom="column">
                        <wp:posOffset>485775</wp:posOffset>
                      </wp:positionH>
                      <wp:positionV relativeFrom="paragraph">
                        <wp:posOffset>17780</wp:posOffset>
                      </wp:positionV>
                      <wp:extent cx="937895" cy="0"/>
                      <wp:effectExtent l="13335" t="12700" r="1079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E86EC"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4pt" to="112.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2X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"/>
                  </w:pict>
                </mc:Fallback>
              </mc:AlternateContent>
            </w:r>
          </w:p>
          <w:p w:rsidR="00410B82" w:rsidRPr="00A0567C" w:rsidRDefault="00410B82" w:rsidP="00BE2171">
            <w:pPr>
              <w:jc w:val="center"/>
              <w:rPr>
                <w:iCs/>
                <w:sz w:val="27"/>
                <w:szCs w:val="27"/>
              </w:rPr>
            </w:pPr>
            <w:r w:rsidRPr="00A0567C">
              <w:rPr>
                <w:b/>
                <w:bCs/>
                <w:noProof/>
                <w:sz w:val="16"/>
                <w:szCs w:val="28"/>
                <w:lang w:val="en-US" w:eastAsia="en-US"/>
              </w:rPr>
              <mc:AlternateContent>
                <mc:Choice Requires="wps">
                  <w:drawing>
                    <wp:anchor distT="0" distB="0" distL="114300" distR="114300" simplePos="0" relativeHeight="251662336" behindDoc="0" locked="0" layoutInCell="1" allowOverlap="1" wp14:anchorId="4504AE6E" wp14:editId="5FA485F4">
                      <wp:simplePos x="0" y="0"/>
                      <wp:positionH relativeFrom="column">
                        <wp:posOffset>577850</wp:posOffset>
                      </wp:positionH>
                      <wp:positionV relativeFrom="paragraph">
                        <wp:posOffset>259715</wp:posOffset>
                      </wp:positionV>
                      <wp:extent cx="1003300" cy="295275"/>
                      <wp:effectExtent l="10160" t="11430" r="571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295275"/>
                              </a:xfrm>
                              <a:prstGeom prst="rect">
                                <a:avLst/>
                              </a:prstGeom>
                              <a:solidFill>
                                <a:srgbClr val="FFFFFF"/>
                              </a:solidFill>
                              <a:ln w="9525">
                                <a:solidFill>
                                  <a:srgbClr val="000000"/>
                                </a:solidFill>
                                <a:miter lim="800000"/>
                                <a:headEnd/>
                                <a:tailEnd/>
                              </a:ln>
                            </wps:spPr>
                            <wps:txbx>
                              <w:txbxContent>
                                <w:p w:rsidR="00410B82" w:rsidRPr="0083421D" w:rsidRDefault="00410B82" w:rsidP="00410B82">
                                  <w:pPr>
                                    <w:jc w:val="center"/>
                                    <w:rPr>
                                      <w:sz w:val="28"/>
                                      <w:szCs w:val="28"/>
                                      <w:lang w:val="en-US"/>
                                    </w:rPr>
                                  </w:pPr>
                                  <w:r w:rsidRPr="0083421D">
                                    <w:rPr>
                                      <w:sz w:val="28"/>
                                      <w:szCs w:val="28"/>
                                      <w:lang w:val="en-US"/>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5.5pt;margin-top:20.45pt;width:79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">
                      <v:textbox>
                        <w:txbxContent>
                          <w:p w:rsidR="00410B82" w:rsidRPr="0083421D" w:rsidRDefault="00410B82" w:rsidP="00410B82">
                            <w:pPr>
                              <w:jc w:val="center"/>
                              <w:rPr>
                                <w:sz w:val="28"/>
                                <w:szCs w:val="28"/>
                                <w:lang w:val="en-US"/>
                              </w:rPr>
                            </w:pPr>
                            <w:r w:rsidRPr="0083421D">
                              <w:rPr>
                                <w:sz w:val="28"/>
                                <w:szCs w:val="28"/>
                                <w:lang w:val="en-US"/>
                              </w:rPr>
                              <w:t xml:space="preserve">DỰ THẢO </w:t>
                            </w:r>
                          </w:p>
                        </w:txbxContent>
                      </v:textbox>
                    </v:rect>
                  </w:pict>
                </mc:Fallback>
              </mc:AlternateContent>
            </w:r>
            <w:r w:rsidRPr="00A0567C">
              <w:rPr>
                <w:iCs/>
                <w:sz w:val="27"/>
                <w:szCs w:val="27"/>
              </w:rPr>
              <w:t xml:space="preserve">Số: </w:t>
            </w:r>
            <w:r w:rsidRPr="00A0567C">
              <w:rPr>
                <w:iCs/>
                <w:sz w:val="27"/>
                <w:szCs w:val="27"/>
                <w:lang w:val="en-US"/>
              </w:rPr>
              <w:t xml:space="preserve">      </w:t>
            </w:r>
            <w:r w:rsidRPr="00A0567C">
              <w:rPr>
                <w:iCs/>
                <w:sz w:val="27"/>
                <w:szCs w:val="27"/>
              </w:rPr>
              <w:t>/</w:t>
            </w:r>
            <w:r w:rsidRPr="00A0567C">
              <w:rPr>
                <w:iCs/>
                <w:sz w:val="27"/>
                <w:szCs w:val="27"/>
                <w:lang w:val="en-US"/>
              </w:rPr>
              <w:t>202</w:t>
            </w:r>
            <w:r w:rsidR="00BE2171" w:rsidRPr="00A0567C">
              <w:rPr>
                <w:iCs/>
                <w:sz w:val="27"/>
                <w:szCs w:val="27"/>
                <w:lang w:val="en-US"/>
              </w:rPr>
              <w:t>6</w:t>
            </w:r>
            <w:r w:rsidRPr="00A0567C">
              <w:rPr>
                <w:iCs/>
                <w:sz w:val="27"/>
                <w:szCs w:val="27"/>
                <w:lang w:val="en-US"/>
              </w:rPr>
              <w:t>/</w:t>
            </w:r>
            <w:r w:rsidRPr="00A0567C">
              <w:rPr>
                <w:iCs/>
                <w:sz w:val="27"/>
                <w:szCs w:val="27"/>
              </w:rPr>
              <w:t>QĐ-UBND</w:t>
            </w:r>
          </w:p>
        </w:tc>
        <w:tc>
          <w:tcPr>
            <w:tcW w:w="3166" w:type="pct"/>
          </w:tcPr>
          <w:p w:rsidR="00410B82" w:rsidRPr="00A0567C" w:rsidRDefault="00410B82" w:rsidP="00C058A1">
            <w:pPr>
              <w:jc w:val="center"/>
              <w:rPr>
                <w:b/>
                <w:bCs/>
                <w:iCs/>
                <w:sz w:val="26"/>
                <w:szCs w:val="26"/>
              </w:rPr>
            </w:pPr>
            <w:r w:rsidRPr="00A0567C">
              <w:rPr>
                <w:b/>
                <w:bCs/>
                <w:iCs/>
                <w:sz w:val="26"/>
                <w:szCs w:val="26"/>
              </w:rPr>
              <w:t>CỘNG HÒA XÃ HỘI CHỦ NGHĨA VIỆT NAM</w:t>
            </w:r>
          </w:p>
          <w:p w:rsidR="00410B82" w:rsidRPr="00A0567C" w:rsidRDefault="00410B82" w:rsidP="00C058A1">
            <w:pPr>
              <w:jc w:val="center"/>
              <w:rPr>
                <w:b/>
                <w:bCs/>
                <w:iCs/>
                <w:sz w:val="28"/>
                <w:szCs w:val="28"/>
              </w:rPr>
            </w:pPr>
            <w:r w:rsidRPr="00A0567C">
              <w:rPr>
                <w:b/>
                <w:bCs/>
                <w:iCs/>
                <w:sz w:val="28"/>
                <w:szCs w:val="28"/>
              </w:rPr>
              <w:t>Độc lập - Tự do - Hạnh phúc</w:t>
            </w:r>
          </w:p>
          <w:p w:rsidR="00410B82" w:rsidRPr="00A0567C" w:rsidRDefault="00410B82" w:rsidP="00C058A1">
            <w:pPr>
              <w:jc w:val="center"/>
              <w:rPr>
                <w:i/>
                <w:sz w:val="28"/>
                <w:szCs w:val="28"/>
              </w:rPr>
            </w:pPr>
            <w:r w:rsidRPr="00A0567C">
              <w:rPr>
                <w:noProof/>
                <w:sz w:val="28"/>
                <w:szCs w:val="28"/>
                <w:lang w:val="en-US" w:eastAsia="en-US"/>
              </w:rPr>
              <mc:AlternateContent>
                <mc:Choice Requires="wps">
                  <w:drawing>
                    <wp:anchor distT="0" distB="0" distL="114300" distR="114300" simplePos="0" relativeHeight="251660288" behindDoc="0" locked="0" layoutInCell="1" allowOverlap="1" wp14:anchorId="45B3D33B" wp14:editId="1EBB665D">
                      <wp:simplePos x="0" y="0"/>
                      <wp:positionH relativeFrom="column">
                        <wp:posOffset>786765</wp:posOffset>
                      </wp:positionH>
                      <wp:positionV relativeFrom="paragraph">
                        <wp:posOffset>19050</wp:posOffset>
                      </wp:positionV>
                      <wp:extent cx="2160270" cy="0"/>
                      <wp:effectExtent l="9525" t="9525" r="1143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B780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5pt,1.5pt" to="232.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V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2S/Mn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"/>
                  </w:pict>
                </mc:Fallback>
              </mc:AlternateContent>
            </w:r>
          </w:p>
          <w:p w:rsidR="00410B82" w:rsidRPr="00A0567C" w:rsidRDefault="00410B82" w:rsidP="00C058A1">
            <w:pPr>
              <w:jc w:val="center"/>
              <w:rPr>
                <w:i/>
                <w:sz w:val="28"/>
                <w:szCs w:val="28"/>
              </w:rPr>
            </w:pPr>
            <w:r w:rsidRPr="00A0567C">
              <w:rPr>
                <w:i/>
                <w:sz w:val="26"/>
                <w:szCs w:val="26"/>
                <w:lang w:val="en-US"/>
              </w:rPr>
              <w:t xml:space="preserve">   </w:t>
            </w:r>
            <w:r w:rsidRPr="00A0567C">
              <w:rPr>
                <w:i/>
                <w:sz w:val="26"/>
                <w:szCs w:val="26"/>
              </w:rPr>
              <w:t xml:space="preserve">  </w:t>
            </w:r>
            <w:r w:rsidRPr="00A0567C">
              <w:rPr>
                <w:i/>
                <w:sz w:val="26"/>
                <w:szCs w:val="26"/>
                <w:lang w:val="en-US"/>
              </w:rPr>
              <w:t>Tuyên Quang</w:t>
            </w:r>
            <w:r w:rsidR="00BE2171" w:rsidRPr="00A0567C">
              <w:rPr>
                <w:i/>
                <w:sz w:val="28"/>
                <w:szCs w:val="28"/>
              </w:rPr>
              <w:t>, ngày      tháng     năm 2026</w:t>
            </w:r>
          </w:p>
        </w:tc>
      </w:tr>
    </w:tbl>
    <w:p w:rsidR="00410B82" w:rsidRPr="00A0567C" w:rsidRDefault="00410B82" w:rsidP="00410B82">
      <w:pPr>
        <w:keepNext/>
        <w:spacing w:line="264" w:lineRule="auto"/>
        <w:jc w:val="center"/>
        <w:outlineLvl w:val="0"/>
        <w:rPr>
          <w:b/>
          <w:bCs/>
          <w:sz w:val="16"/>
          <w:szCs w:val="28"/>
        </w:rPr>
      </w:pPr>
    </w:p>
    <w:p w:rsidR="00410B82" w:rsidRPr="00A0567C" w:rsidRDefault="00410B82" w:rsidP="00410B82">
      <w:pPr>
        <w:keepNext/>
        <w:jc w:val="center"/>
        <w:outlineLvl w:val="0"/>
        <w:rPr>
          <w:b/>
          <w:bCs/>
          <w:sz w:val="28"/>
          <w:szCs w:val="28"/>
        </w:rPr>
      </w:pPr>
      <w:r w:rsidRPr="00A0567C">
        <w:rPr>
          <w:b/>
          <w:bCs/>
          <w:sz w:val="28"/>
          <w:szCs w:val="28"/>
        </w:rPr>
        <w:t xml:space="preserve">   </w:t>
      </w:r>
    </w:p>
    <w:p w:rsidR="00410B82" w:rsidRPr="00A0567C" w:rsidRDefault="00410B82" w:rsidP="00410B82">
      <w:pPr>
        <w:keepNext/>
        <w:jc w:val="center"/>
        <w:outlineLvl w:val="0"/>
        <w:rPr>
          <w:b/>
          <w:bCs/>
          <w:sz w:val="16"/>
          <w:szCs w:val="28"/>
        </w:rPr>
      </w:pPr>
    </w:p>
    <w:p w:rsidR="00410B82" w:rsidRPr="00A0567C" w:rsidRDefault="00410B82" w:rsidP="00410B82">
      <w:pPr>
        <w:keepNext/>
        <w:jc w:val="center"/>
        <w:outlineLvl w:val="0"/>
        <w:rPr>
          <w:b/>
          <w:bCs/>
          <w:sz w:val="28"/>
          <w:szCs w:val="28"/>
        </w:rPr>
      </w:pPr>
      <w:r w:rsidRPr="00A0567C">
        <w:rPr>
          <w:b/>
          <w:bCs/>
          <w:sz w:val="28"/>
          <w:szCs w:val="28"/>
        </w:rPr>
        <w:t xml:space="preserve">QUYẾT ĐỊNH </w:t>
      </w:r>
    </w:p>
    <w:p w:rsidR="00410B82" w:rsidRPr="00A0567C" w:rsidRDefault="00EF5364" w:rsidP="00410B82">
      <w:pPr>
        <w:jc w:val="center"/>
        <w:rPr>
          <w:b/>
          <w:bCs/>
          <w:sz w:val="28"/>
          <w:szCs w:val="28"/>
        </w:rPr>
      </w:pPr>
      <w:r w:rsidRPr="00A0567C">
        <w:rPr>
          <w:b/>
          <w:bCs/>
          <w:sz w:val="28"/>
          <w:szCs w:val="28"/>
          <w:lang w:val="en-US"/>
        </w:rPr>
        <w:t xml:space="preserve">Ban hành </w:t>
      </w:r>
      <w:r w:rsidR="00410B82" w:rsidRPr="00A0567C">
        <w:rPr>
          <w:b/>
          <w:bCs/>
          <w:sz w:val="28"/>
          <w:szCs w:val="28"/>
        </w:rPr>
        <w:t xml:space="preserve">Quy chế quản lý và sử dụng nguồn vốn ngân sách </w:t>
      </w:r>
      <w:r w:rsidR="00410B82" w:rsidRPr="00A0567C">
        <w:rPr>
          <w:b/>
          <w:bCs/>
          <w:sz w:val="28"/>
          <w:szCs w:val="28"/>
          <w:lang w:val="en-US"/>
        </w:rPr>
        <w:t>cấp tỉnh</w:t>
      </w:r>
      <w:r w:rsidR="00410B82" w:rsidRPr="00A0567C">
        <w:rPr>
          <w:b/>
          <w:bCs/>
          <w:sz w:val="28"/>
          <w:szCs w:val="28"/>
        </w:rPr>
        <w:t xml:space="preserve"> </w:t>
      </w:r>
    </w:p>
    <w:p w:rsidR="00410B82" w:rsidRPr="00A0567C" w:rsidRDefault="00410B82" w:rsidP="00410B82">
      <w:pPr>
        <w:jc w:val="center"/>
        <w:rPr>
          <w:b/>
          <w:bCs/>
          <w:sz w:val="28"/>
          <w:szCs w:val="28"/>
          <w:lang w:val="en-US"/>
        </w:rPr>
      </w:pPr>
      <w:r w:rsidRPr="00A0567C">
        <w:rPr>
          <w:b/>
          <w:bCs/>
          <w:sz w:val="28"/>
          <w:szCs w:val="28"/>
        </w:rPr>
        <w:t xml:space="preserve">ủy thác qua Ngân hàng Chính sách xã hội để cho vay đối với người nghèo                                         và các đối tượng chính sách khác trên địa bàn </w:t>
      </w:r>
      <w:r w:rsidRPr="00A0567C">
        <w:rPr>
          <w:b/>
          <w:bCs/>
          <w:sz w:val="28"/>
          <w:szCs w:val="28"/>
          <w:lang w:val="en-US"/>
        </w:rPr>
        <w:t>tỉnh Tuyên Quang</w:t>
      </w:r>
    </w:p>
    <w:p w:rsidR="00410B82" w:rsidRPr="00A0567C" w:rsidRDefault="00410B82" w:rsidP="00410B82">
      <w:pPr>
        <w:jc w:val="center"/>
        <w:rPr>
          <w:b/>
          <w:bCs/>
          <w:sz w:val="28"/>
          <w:szCs w:val="28"/>
        </w:rPr>
      </w:pPr>
      <w:r w:rsidRPr="00A0567C">
        <w:rPr>
          <w:b/>
          <w:bCs/>
          <w:noProof/>
          <w:sz w:val="28"/>
          <w:szCs w:val="28"/>
          <w:lang w:val="en-US" w:eastAsia="en-US"/>
        </w:rPr>
        <mc:AlternateContent>
          <mc:Choice Requires="wps">
            <w:drawing>
              <wp:anchor distT="0" distB="0" distL="114300" distR="114300" simplePos="0" relativeHeight="251659264" behindDoc="0" locked="0" layoutInCell="1" allowOverlap="1" wp14:anchorId="1652AECB" wp14:editId="7D084D47">
                <wp:simplePos x="0" y="0"/>
                <wp:positionH relativeFrom="column">
                  <wp:posOffset>1788795</wp:posOffset>
                </wp:positionH>
                <wp:positionV relativeFrom="paragraph">
                  <wp:posOffset>42545</wp:posOffset>
                </wp:positionV>
                <wp:extent cx="2284095" cy="0"/>
                <wp:effectExtent l="11430"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E1D0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5pt,3.35pt" to="320.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Ut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ZDLP08U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"/>
            </w:pict>
          </mc:Fallback>
        </mc:AlternateContent>
      </w:r>
    </w:p>
    <w:p w:rsidR="00410B82" w:rsidRPr="00A0567C" w:rsidRDefault="00410B82" w:rsidP="004D7996">
      <w:pPr>
        <w:pStyle w:val="NormalWeb"/>
        <w:widowControl w:val="0"/>
        <w:spacing w:before="120" w:beforeAutospacing="0" w:after="0" w:afterAutospacing="0"/>
        <w:ind w:firstLine="720"/>
        <w:jc w:val="both"/>
        <w:rPr>
          <w:i/>
          <w:iCs/>
          <w:sz w:val="28"/>
          <w:szCs w:val="28"/>
          <w:lang w:val="vi-VN"/>
        </w:rPr>
      </w:pPr>
      <w:r w:rsidRPr="00A0567C">
        <w:rPr>
          <w:i/>
          <w:iCs/>
          <w:sz w:val="28"/>
          <w:szCs w:val="28"/>
        </w:rPr>
        <w:t>Căn cứ Luật Tổ chức chính quyền địa phương số 72/2025/QH15;</w:t>
      </w:r>
    </w:p>
    <w:p w:rsidR="00410B82" w:rsidRPr="00A0567C" w:rsidRDefault="00410B82" w:rsidP="004D7996">
      <w:pPr>
        <w:pStyle w:val="NormalWeb"/>
        <w:widowControl w:val="0"/>
        <w:spacing w:before="120" w:beforeAutospacing="0" w:after="0" w:afterAutospacing="0"/>
        <w:ind w:firstLine="720"/>
        <w:jc w:val="both"/>
        <w:rPr>
          <w:i/>
          <w:iCs/>
          <w:sz w:val="28"/>
          <w:szCs w:val="28"/>
        </w:rPr>
      </w:pPr>
      <w:r w:rsidRPr="00A0567C">
        <w:rPr>
          <w:i/>
          <w:sz w:val="28"/>
          <w:szCs w:val="28"/>
        </w:rPr>
        <w:t>Căn cứ Luật Ngân sách nhà nước số 89/2025/QH15</w:t>
      </w:r>
      <w:r w:rsidRPr="00A0567C">
        <w:rPr>
          <w:i/>
          <w:iCs/>
          <w:sz w:val="28"/>
          <w:szCs w:val="28"/>
        </w:rPr>
        <w:t>;</w:t>
      </w:r>
    </w:p>
    <w:p w:rsidR="008D18B3" w:rsidRPr="00A0567C" w:rsidRDefault="008D18B3" w:rsidP="008D18B3">
      <w:pPr>
        <w:pStyle w:val="NormalWeb"/>
        <w:widowControl w:val="0"/>
        <w:spacing w:before="120" w:beforeAutospacing="0" w:after="0" w:afterAutospacing="0"/>
        <w:ind w:firstLine="720"/>
        <w:jc w:val="both"/>
        <w:rPr>
          <w:i/>
          <w:spacing w:val="-4"/>
          <w:sz w:val="28"/>
          <w:szCs w:val="28"/>
        </w:rPr>
      </w:pPr>
      <w:r w:rsidRPr="00A0567C">
        <w:rPr>
          <w:i/>
          <w:spacing w:val="-4"/>
          <w:sz w:val="28"/>
          <w:szCs w:val="28"/>
        </w:rPr>
        <w:t>Căn cứ Luật Đầu tư công số 58/2024/QH15 được sửa đổi, bổ sung bởi Luật số 90/2025/QH15;</w:t>
      </w:r>
    </w:p>
    <w:p w:rsidR="008D18B3" w:rsidRPr="00A0567C" w:rsidRDefault="008D18B3" w:rsidP="008D18B3">
      <w:pPr>
        <w:pStyle w:val="NormalWeb"/>
        <w:widowControl w:val="0"/>
        <w:spacing w:before="120" w:beforeAutospacing="0" w:after="0" w:afterAutospacing="0"/>
        <w:ind w:firstLine="720"/>
        <w:jc w:val="both"/>
        <w:rPr>
          <w:i/>
          <w:spacing w:val="-4"/>
          <w:sz w:val="28"/>
          <w:szCs w:val="28"/>
        </w:rPr>
      </w:pPr>
      <w:r w:rsidRPr="00A0567C">
        <w:rPr>
          <w:i/>
          <w:spacing w:val="-4"/>
          <w:sz w:val="28"/>
          <w:szCs w:val="28"/>
        </w:rPr>
        <w:t>Căn cứ Nghị định số 85/2025/NĐ-CP của Chính phủ quy định chi tiết thi hành một số điều của Luật Đầu tư công được sửa đổi, bổ sung bởi Nghị định số 275/2025/NĐ-CP;</w:t>
      </w:r>
    </w:p>
    <w:p w:rsidR="00410B82" w:rsidRPr="00A0567C" w:rsidRDefault="008D18B3" w:rsidP="008D18B3">
      <w:pPr>
        <w:pStyle w:val="NormalWeb"/>
        <w:widowControl w:val="0"/>
        <w:spacing w:before="120" w:beforeAutospacing="0" w:after="0" w:afterAutospacing="0"/>
        <w:ind w:firstLine="720"/>
        <w:jc w:val="both"/>
        <w:rPr>
          <w:i/>
          <w:iCs/>
          <w:sz w:val="28"/>
          <w:szCs w:val="28"/>
        </w:rPr>
      </w:pPr>
      <w:r w:rsidRPr="00A0567C">
        <w:rPr>
          <w:i/>
          <w:iCs/>
          <w:sz w:val="28"/>
          <w:szCs w:val="28"/>
        </w:rPr>
        <w:t xml:space="preserve"> </w:t>
      </w:r>
      <w:r w:rsidR="00410B82" w:rsidRPr="00A0567C">
        <w:rPr>
          <w:i/>
          <w:iCs/>
          <w:sz w:val="28"/>
          <w:szCs w:val="28"/>
        </w:rPr>
        <w:t>Căn cứ Nghị định số </w:t>
      </w:r>
      <w:hyperlink r:id="rId8" w:tgtFrame="_blank" w:tooltip="Nghị định 78/2002/NĐ-CP" w:history="1">
        <w:r w:rsidR="00410B82" w:rsidRPr="00A0567C">
          <w:rPr>
            <w:i/>
            <w:iCs/>
            <w:sz w:val="28"/>
            <w:szCs w:val="28"/>
          </w:rPr>
          <w:t>78/2002/NĐ-CP</w:t>
        </w:r>
      </w:hyperlink>
      <w:r w:rsidR="00410B82" w:rsidRPr="00A0567C">
        <w:rPr>
          <w:i/>
          <w:iCs/>
          <w:sz w:val="28"/>
          <w:szCs w:val="28"/>
        </w:rPr>
        <w:t> của Chính phủ về tín dụng đối với người nghèo và các đối tượng chính sách khác</w:t>
      </w:r>
      <w:r w:rsidR="00410B82" w:rsidRPr="00A0567C">
        <w:rPr>
          <w:i/>
          <w:iCs/>
          <w:sz w:val="28"/>
          <w:szCs w:val="28"/>
          <w:lang w:val="vi-VN"/>
        </w:rPr>
        <w:t xml:space="preserve"> được sửa đổi, bổ sung bởi Nghị định số 125/2025/NĐ-CP</w:t>
      </w:r>
      <w:r w:rsidR="00410B82" w:rsidRPr="00A0567C">
        <w:rPr>
          <w:i/>
          <w:iCs/>
          <w:sz w:val="28"/>
          <w:szCs w:val="28"/>
        </w:rPr>
        <w:t>;</w:t>
      </w:r>
    </w:p>
    <w:p w:rsidR="0029749B" w:rsidRPr="00A0567C" w:rsidRDefault="0029749B" w:rsidP="0029749B">
      <w:pPr>
        <w:pStyle w:val="NormalWeb"/>
        <w:widowControl w:val="0"/>
        <w:spacing w:before="120" w:beforeAutospacing="0" w:after="0" w:afterAutospacing="0"/>
        <w:ind w:firstLine="720"/>
        <w:jc w:val="both"/>
        <w:rPr>
          <w:i/>
          <w:iCs/>
          <w:sz w:val="28"/>
          <w:szCs w:val="28"/>
        </w:rPr>
      </w:pPr>
      <w:r w:rsidRPr="00A0567C">
        <w:rPr>
          <w:i/>
          <w:iCs/>
          <w:sz w:val="28"/>
          <w:szCs w:val="28"/>
        </w:rPr>
        <w:t>Căn cứ Nghị định số 06/2025/NĐ-CP ngày 10</w:t>
      </w:r>
      <w:r w:rsidR="00E47EAE" w:rsidRPr="00A0567C">
        <w:rPr>
          <w:i/>
          <w:iCs/>
          <w:sz w:val="28"/>
          <w:szCs w:val="28"/>
        </w:rPr>
        <w:t xml:space="preserve"> tháng 01 năm </w:t>
      </w:r>
      <w:r w:rsidRPr="00A0567C">
        <w:rPr>
          <w:i/>
          <w:iCs/>
          <w:sz w:val="28"/>
          <w:szCs w:val="28"/>
        </w:rPr>
        <w:t>2026 của Chính phủ quy định về tổ chức và hoạt động của Ngân hàng Chính sách xã hội;</w:t>
      </w:r>
    </w:p>
    <w:p w:rsidR="00C2473C" w:rsidRPr="00A0567C" w:rsidRDefault="00C2473C" w:rsidP="004D7996">
      <w:pPr>
        <w:pStyle w:val="NormalWeb"/>
        <w:widowControl w:val="0"/>
        <w:spacing w:before="120" w:beforeAutospacing="0" w:after="0" w:afterAutospacing="0"/>
        <w:ind w:firstLine="720"/>
        <w:jc w:val="both"/>
        <w:rPr>
          <w:i/>
          <w:iCs/>
          <w:sz w:val="28"/>
          <w:szCs w:val="28"/>
        </w:rPr>
      </w:pPr>
      <w:r w:rsidRPr="00A0567C">
        <w:rPr>
          <w:i/>
          <w:iCs/>
          <w:sz w:val="28"/>
          <w:szCs w:val="28"/>
        </w:rPr>
        <w:t>Căn cứ Quyết định số 180/2002/QĐ-TTg của Thủ tướng Chính phủ về việc ban hành Quy chế quản lý tài chính đối với Ngân hàng Chính sách xã hội được sửa đổi, bổ sung bởi Quyết định số 30/2015/QĐ-TTg;</w:t>
      </w:r>
    </w:p>
    <w:p w:rsidR="00410B82" w:rsidRPr="00A0567C" w:rsidRDefault="00410B82" w:rsidP="004D7996">
      <w:pPr>
        <w:pStyle w:val="Bodytext40"/>
        <w:shd w:val="clear" w:color="auto" w:fill="auto"/>
        <w:spacing w:after="0" w:line="240" w:lineRule="auto"/>
        <w:ind w:left="60" w:right="40" w:firstLine="660"/>
        <w:rPr>
          <w:sz w:val="28"/>
          <w:szCs w:val="28"/>
          <w:lang w:val="nl-NL"/>
        </w:rPr>
      </w:pPr>
      <w:r w:rsidRPr="00A0567C">
        <w:rPr>
          <w:sz w:val="28"/>
          <w:szCs w:val="28"/>
          <w:lang w:val="nl-NL"/>
        </w:rPr>
        <w:t>Căn cứ Quyết định số 50/2010/QĐ-TTg của Thủ tướng Chính phủ</w:t>
      </w:r>
      <w:r w:rsidRPr="00A0567C">
        <w:rPr>
          <w:rStyle w:val="Bodytext4NotItalic"/>
          <w:rFonts w:eastAsiaTheme="minorHAnsi"/>
          <w:color w:val="auto"/>
          <w:sz w:val="28"/>
          <w:szCs w:val="28"/>
        </w:rPr>
        <w:t xml:space="preserve"> </w:t>
      </w:r>
      <w:r w:rsidRPr="00A0567C">
        <w:rPr>
          <w:rStyle w:val="Bodytext4NotItalic"/>
          <w:rFonts w:eastAsiaTheme="minorHAnsi"/>
          <w:i/>
          <w:color w:val="auto"/>
          <w:sz w:val="28"/>
          <w:szCs w:val="28"/>
        </w:rPr>
        <w:t>về</w:t>
      </w:r>
      <w:r w:rsidRPr="00A0567C">
        <w:rPr>
          <w:rStyle w:val="Bodytext4NotItalic"/>
          <w:rFonts w:eastAsiaTheme="minorHAnsi"/>
          <w:color w:val="auto"/>
          <w:sz w:val="28"/>
          <w:szCs w:val="28"/>
        </w:rPr>
        <w:t xml:space="preserve"> </w:t>
      </w:r>
      <w:r w:rsidRPr="00A0567C">
        <w:rPr>
          <w:sz w:val="28"/>
          <w:szCs w:val="28"/>
          <w:lang w:val="nl-NL"/>
        </w:rPr>
        <w:t>việc ban hành quy chế xử lý nợ bị rủi ro tại Ngân hàng Chính sách xã hội được sửa đổi, bổ sung</w:t>
      </w:r>
      <w:r w:rsidRPr="00A0567C">
        <w:rPr>
          <w:i w:val="0"/>
          <w:iCs w:val="0"/>
          <w:sz w:val="28"/>
          <w:szCs w:val="28"/>
          <w:lang w:val="vi-VN"/>
        </w:rPr>
        <w:t xml:space="preserve"> bởi</w:t>
      </w:r>
      <w:r w:rsidRPr="00A0567C">
        <w:rPr>
          <w:sz w:val="28"/>
          <w:szCs w:val="28"/>
          <w:lang w:val="nl-NL"/>
        </w:rPr>
        <w:t xml:space="preserve"> Quyết định số 08/2021/QĐ-TTg;</w:t>
      </w:r>
    </w:p>
    <w:p w:rsidR="00410B82" w:rsidRPr="00A0567C" w:rsidRDefault="00410B82" w:rsidP="004D7996">
      <w:pPr>
        <w:pStyle w:val="NormalWeb"/>
        <w:widowControl w:val="0"/>
        <w:spacing w:before="120" w:beforeAutospacing="0" w:after="0" w:afterAutospacing="0"/>
        <w:ind w:firstLine="720"/>
        <w:jc w:val="both"/>
        <w:rPr>
          <w:i/>
          <w:iCs/>
          <w:sz w:val="28"/>
          <w:szCs w:val="28"/>
        </w:rPr>
      </w:pPr>
      <w:r w:rsidRPr="00A0567C">
        <w:rPr>
          <w:i/>
          <w:iCs/>
          <w:sz w:val="28"/>
          <w:szCs w:val="28"/>
        </w:rPr>
        <w:t>Căn cứ Thông tư số </w:t>
      </w:r>
      <w:hyperlink r:id="rId9" w:tgtFrame="_blank" w:tooltip="Thông tư 11/2017/TT-BTC" w:history="1">
        <w:r w:rsidRPr="00A0567C">
          <w:rPr>
            <w:i/>
            <w:iCs/>
            <w:sz w:val="28"/>
            <w:szCs w:val="28"/>
          </w:rPr>
          <w:t>11/2017/TT-BTC</w:t>
        </w:r>
      </w:hyperlink>
      <w:r w:rsidRPr="00A0567C">
        <w:rPr>
          <w:i/>
          <w:iCs/>
          <w:sz w:val="28"/>
          <w:szCs w:val="28"/>
        </w:rPr>
        <w:t xml:space="preserve"> của Bộ trưởng Bộ Tài chính quy định về quản lý và sử dụng nguồn vốn ngân sách địa phương ủy thác qua Ngân hàng Chính sách xã hội để cho vay đối với người nghèo và các đối tượng chính sách khác</w:t>
      </w:r>
      <w:r w:rsidRPr="00A0567C">
        <w:rPr>
          <w:i/>
          <w:iCs/>
          <w:sz w:val="28"/>
          <w:szCs w:val="28"/>
          <w:lang w:val="vi-VN"/>
        </w:rPr>
        <w:t xml:space="preserve"> được sửa đổi, bổ sung bởi </w:t>
      </w:r>
      <w:r w:rsidRPr="00A0567C">
        <w:rPr>
          <w:i/>
          <w:iCs/>
          <w:spacing w:val="-4"/>
          <w:sz w:val="28"/>
          <w:szCs w:val="28"/>
        </w:rPr>
        <w:t>Thông tư số </w:t>
      </w:r>
      <w:hyperlink r:id="rId10" w:tgtFrame="_blank" w:tooltip="Thông tư 11/2017/TT-BTC" w:history="1">
        <w:r w:rsidRPr="00A0567C">
          <w:rPr>
            <w:i/>
            <w:iCs/>
            <w:spacing w:val="-4"/>
            <w:sz w:val="28"/>
            <w:szCs w:val="28"/>
          </w:rPr>
          <w:t>84/2025/TT-BTC</w:t>
        </w:r>
      </w:hyperlink>
      <w:r w:rsidRPr="00A0567C">
        <w:rPr>
          <w:i/>
          <w:iCs/>
          <w:sz w:val="28"/>
          <w:szCs w:val="28"/>
        </w:rPr>
        <w:t>;</w:t>
      </w:r>
    </w:p>
    <w:p w:rsidR="00EA7209" w:rsidRPr="00A0567C" w:rsidRDefault="00EA7209" w:rsidP="00EA7209">
      <w:pPr>
        <w:pStyle w:val="NormalWeb"/>
        <w:widowControl w:val="0"/>
        <w:spacing w:before="120" w:beforeAutospacing="0" w:after="0" w:afterAutospacing="0"/>
        <w:ind w:firstLine="720"/>
        <w:jc w:val="both"/>
        <w:rPr>
          <w:i/>
          <w:iCs/>
          <w:sz w:val="28"/>
          <w:szCs w:val="28"/>
        </w:rPr>
      </w:pPr>
      <w:r w:rsidRPr="00A0567C">
        <w:rPr>
          <w:i/>
          <w:iCs/>
          <w:sz w:val="28"/>
          <w:szCs w:val="28"/>
        </w:rPr>
        <w:t>Căn cứ Nghị q</w:t>
      </w:r>
      <w:r w:rsidR="003A378A" w:rsidRPr="00A0567C">
        <w:rPr>
          <w:i/>
          <w:iCs/>
          <w:sz w:val="28"/>
          <w:szCs w:val="28"/>
        </w:rPr>
        <w:t xml:space="preserve">uyết số 32/2025/NQ-HĐND ngày 10 tháng 12 năm </w:t>
      </w:r>
      <w:r w:rsidRPr="00A0567C">
        <w:rPr>
          <w:i/>
          <w:iCs/>
          <w:sz w:val="28"/>
          <w:szCs w:val="28"/>
        </w:rPr>
        <w:t>2025 của Hội đồng nhân dân tỉnh Tuyên Quang về Quy định nguồn vốn ngân sách cấp tỉnh ủy thác qua Chi nhánh Ngân hàng Chính sách xã hội cấp tỉnh; mức cho vay, thời hạn cho vay, lãi suất cho vay trên địa bàn tỉnh Tuyên Quang;</w:t>
      </w:r>
    </w:p>
    <w:p w:rsidR="00410B82" w:rsidRPr="00A0567C" w:rsidRDefault="00410B82" w:rsidP="004D7996">
      <w:pPr>
        <w:pStyle w:val="Bodytext40"/>
        <w:shd w:val="clear" w:color="auto" w:fill="auto"/>
        <w:spacing w:after="0" w:line="240" w:lineRule="auto"/>
        <w:ind w:left="20" w:right="40" w:firstLine="720"/>
        <w:rPr>
          <w:spacing w:val="-2"/>
          <w:sz w:val="28"/>
          <w:szCs w:val="28"/>
          <w:lang w:val="nl-NL"/>
        </w:rPr>
      </w:pPr>
      <w:r w:rsidRPr="00A0567C">
        <w:rPr>
          <w:spacing w:val="-2"/>
          <w:sz w:val="28"/>
          <w:szCs w:val="28"/>
          <w:lang w:val="nl-NL"/>
        </w:rPr>
        <w:t>Theo đề nghị của Giám đốc Sở Tài chính tại Tờ trình số ... ngày ...tháng…năm..., Báo cáo thẩm định số ... ngày ...tháng... năm... của Sở Tư pháp;</w:t>
      </w:r>
    </w:p>
    <w:p w:rsidR="00410B82" w:rsidRPr="00A0567C" w:rsidRDefault="00410B82" w:rsidP="004D7996">
      <w:pPr>
        <w:pStyle w:val="Bodytext40"/>
        <w:shd w:val="clear" w:color="auto" w:fill="auto"/>
        <w:spacing w:after="0" w:line="240" w:lineRule="auto"/>
        <w:ind w:left="20" w:right="40" w:firstLine="720"/>
        <w:rPr>
          <w:sz w:val="28"/>
          <w:szCs w:val="28"/>
          <w:lang w:val="nl-NL"/>
        </w:rPr>
      </w:pPr>
      <w:r w:rsidRPr="00A0567C">
        <w:rPr>
          <w:sz w:val="28"/>
          <w:szCs w:val="28"/>
          <w:lang w:val="nl-NL"/>
        </w:rPr>
        <w:t xml:space="preserve">Ủy ban nhân dân ban hành </w:t>
      </w:r>
      <w:r w:rsidR="008D18B3" w:rsidRPr="00A0567C">
        <w:rPr>
          <w:sz w:val="28"/>
          <w:szCs w:val="28"/>
          <w:lang w:val="nl-NL"/>
        </w:rPr>
        <w:t xml:space="preserve">Quyết định </w:t>
      </w:r>
      <w:r w:rsidRPr="00A0567C">
        <w:rPr>
          <w:sz w:val="28"/>
          <w:szCs w:val="28"/>
          <w:lang w:val="nl-NL"/>
        </w:rPr>
        <w:t xml:space="preserve">Quy chế quản lý và sử dụng nguồn </w:t>
      </w:r>
      <w:r w:rsidRPr="00A0567C">
        <w:rPr>
          <w:sz w:val="28"/>
          <w:szCs w:val="28"/>
          <w:lang w:val="nl-NL"/>
        </w:rPr>
        <w:lastRenderedPageBreak/>
        <w:t>vốn ngân sách cấp tỉnh ủy thác qua Ngân hàng Chính sách xã hội để cho vay đối với người nghèo và các đối tượng chính sách khác trên địa bàn tỉnh Tuyên Quang.</w:t>
      </w:r>
    </w:p>
    <w:p w:rsidR="008441F5" w:rsidRPr="00A0567C" w:rsidRDefault="008441F5" w:rsidP="004D7996">
      <w:pPr>
        <w:pStyle w:val="BodyText2"/>
        <w:shd w:val="clear" w:color="auto" w:fill="auto"/>
        <w:spacing w:before="120" w:line="240" w:lineRule="auto"/>
        <w:ind w:left="23" w:right="40" w:firstLine="692"/>
        <w:rPr>
          <w:b/>
          <w:spacing w:val="4"/>
          <w:sz w:val="2"/>
          <w:lang w:val="nl-NL"/>
        </w:rPr>
      </w:pPr>
    </w:p>
    <w:p w:rsidR="002F55DE" w:rsidRPr="00A0567C" w:rsidRDefault="002F55DE" w:rsidP="002F55DE">
      <w:pPr>
        <w:jc w:val="center"/>
        <w:rPr>
          <w:b/>
          <w:sz w:val="28"/>
          <w:szCs w:val="28"/>
          <w:lang w:val="en-US" w:eastAsia="en-US"/>
        </w:rPr>
      </w:pPr>
    </w:p>
    <w:p w:rsidR="002F55DE" w:rsidRPr="00A0567C" w:rsidRDefault="002F55DE" w:rsidP="002F55DE">
      <w:pPr>
        <w:jc w:val="center"/>
        <w:rPr>
          <w:b/>
          <w:sz w:val="28"/>
          <w:szCs w:val="28"/>
          <w:lang w:val="en-US" w:eastAsia="en-US"/>
        </w:rPr>
      </w:pPr>
      <w:r w:rsidRPr="00A0567C">
        <w:rPr>
          <w:b/>
          <w:sz w:val="28"/>
          <w:szCs w:val="28"/>
          <w:lang w:val="en-US" w:eastAsia="en-US"/>
        </w:rPr>
        <w:t>Chương I</w:t>
      </w:r>
    </w:p>
    <w:p w:rsidR="002F55DE" w:rsidRPr="00A0567C" w:rsidRDefault="002F55DE" w:rsidP="002F55DE">
      <w:pPr>
        <w:jc w:val="center"/>
        <w:rPr>
          <w:b/>
          <w:sz w:val="28"/>
          <w:szCs w:val="28"/>
          <w:lang w:val="en-US" w:eastAsia="en-US"/>
        </w:rPr>
      </w:pPr>
      <w:r w:rsidRPr="00A0567C">
        <w:rPr>
          <w:b/>
          <w:sz w:val="28"/>
          <w:szCs w:val="28"/>
          <w:lang w:val="en-US" w:eastAsia="en-US"/>
        </w:rPr>
        <w:t>QUY ĐỊNH CHUNG</w:t>
      </w:r>
    </w:p>
    <w:p w:rsidR="002F55DE" w:rsidRPr="00A0567C" w:rsidRDefault="002F55DE" w:rsidP="002F55DE">
      <w:pPr>
        <w:spacing w:line="264" w:lineRule="auto"/>
        <w:rPr>
          <w:sz w:val="4"/>
          <w:szCs w:val="28"/>
          <w:lang w:val="en-US" w:eastAsia="en-US"/>
        </w:rPr>
      </w:pPr>
    </w:p>
    <w:p w:rsidR="002F55DE" w:rsidRPr="00A0567C" w:rsidRDefault="002F55DE" w:rsidP="002F55DE">
      <w:pPr>
        <w:pStyle w:val="Bodytext30"/>
        <w:shd w:val="clear" w:color="auto" w:fill="auto"/>
        <w:spacing w:before="120" w:line="240" w:lineRule="auto"/>
        <w:ind w:left="23" w:firstLine="686"/>
        <w:jc w:val="left"/>
      </w:pPr>
      <w:r w:rsidRPr="00A0567C">
        <w:t>Điều 1. Phạm vi điều chỉnh, đối tượng áp dụng</w:t>
      </w:r>
    </w:p>
    <w:p w:rsidR="002F55DE" w:rsidRPr="00A0567C" w:rsidRDefault="002F55DE" w:rsidP="002F55DE">
      <w:pPr>
        <w:pStyle w:val="BodyText2"/>
        <w:shd w:val="clear" w:color="auto" w:fill="auto"/>
        <w:spacing w:before="120" w:line="240" w:lineRule="auto"/>
        <w:ind w:left="23" w:right="40" w:firstLine="686"/>
      </w:pPr>
      <w:r w:rsidRPr="00A0567C">
        <w:t>1. Phạm vi điều chỉnh</w:t>
      </w:r>
    </w:p>
    <w:p w:rsidR="002F55DE" w:rsidRPr="00A0567C" w:rsidRDefault="00BB7DC9" w:rsidP="002F55DE">
      <w:pPr>
        <w:pStyle w:val="BodyText2"/>
        <w:shd w:val="clear" w:color="auto" w:fill="auto"/>
        <w:spacing w:before="120" w:line="240" w:lineRule="auto"/>
        <w:ind w:left="23" w:right="40" w:firstLine="663"/>
      </w:pPr>
      <w:r w:rsidRPr="00A0567C">
        <w:t>Quyết định</w:t>
      </w:r>
      <w:r w:rsidR="002F55DE" w:rsidRPr="00A0567C">
        <w:t xml:space="preserve"> này quy định việc quản lý và sử dụng nguồn vốn ngân sách cấp tỉnh ủy thác qua Chi nhánh Ngân hàng Chính sách xã hội tỉnh Tuyên Quang </w:t>
      </w:r>
      <w:r w:rsidR="002F55DE" w:rsidRPr="00A0567C">
        <w:rPr>
          <w:i/>
        </w:rPr>
        <w:t>(nay viết tắt là Chi nhánh NHCSXH tỉnh)</w:t>
      </w:r>
      <w:r w:rsidR="002F55DE" w:rsidRPr="00A0567C">
        <w:t xml:space="preserve"> để cho vay đối với người nghèo và các đối tượng chính sách khác trên địa bàn tỉnh Tuyên Quang theo quy định của Chính phủ và Nghị quyết của Hội đồng nhân dân tỉnh.</w:t>
      </w:r>
    </w:p>
    <w:p w:rsidR="002F55DE" w:rsidRPr="00A0567C" w:rsidRDefault="002F55DE" w:rsidP="002F55DE">
      <w:pPr>
        <w:pStyle w:val="BodyText2"/>
        <w:shd w:val="clear" w:color="auto" w:fill="auto"/>
        <w:tabs>
          <w:tab w:val="left" w:pos="860"/>
        </w:tabs>
        <w:spacing w:before="120" w:line="240" w:lineRule="auto"/>
        <w:ind w:right="40" w:firstLine="686"/>
      </w:pPr>
      <w:r w:rsidRPr="00A0567C">
        <w:t>2. Đối tượng áp dụng</w:t>
      </w:r>
    </w:p>
    <w:p w:rsidR="002F55DE" w:rsidRPr="00A0567C" w:rsidRDefault="002F55DE" w:rsidP="002F55DE">
      <w:pPr>
        <w:pStyle w:val="BodyText2"/>
        <w:shd w:val="clear" w:color="auto" w:fill="auto"/>
        <w:tabs>
          <w:tab w:val="left" w:pos="860"/>
        </w:tabs>
        <w:spacing w:before="120" w:line="240" w:lineRule="auto"/>
        <w:ind w:right="40" w:firstLine="686"/>
      </w:pPr>
      <w:r w:rsidRPr="00A0567C">
        <w:t>Các cơ quan, đơn vị, cá nhân liên quan đến việc quản lý và sử dụng nguồn vốn ngân sách cấp tỉnh ủy thác qua Chi nhánh NHCSXH tỉnh để cho vay đối với người nghèo và các đối tượng chính sách khác.</w:t>
      </w:r>
    </w:p>
    <w:p w:rsidR="002F55DE" w:rsidRPr="00A0567C" w:rsidRDefault="002F55DE" w:rsidP="002F55DE">
      <w:pPr>
        <w:pStyle w:val="Bodytext30"/>
        <w:shd w:val="clear" w:color="auto" w:fill="auto"/>
        <w:spacing w:before="120" w:line="240" w:lineRule="auto"/>
        <w:ind w:left="23" w:right="40" w:firstLine="686"/>
        <w:jc w:val="both"/>
      </w:pPr>
      <w:r w:rsidRPr="00A0567C">
        <w:t>Điều 2. Nguồn vốn ngân sách cấp tỉnh ủy thác qua Chi nhánh NHCSXH tỉnh</w:t>
      </w:r>
    </w:p>
    <w:p w:rsidR="002F55DE" w:rsidRPr="00A0567C" w:rsidRDefault="002F55DE" w:rsidP="002F55DE">
      <w:pPr>
        <w:pStyle w:val="BodyText2"/>
        <w:shd w:val="clear" w:color="auto" w:fill="auto"/>
        <w:tabs>
          <w:tab w:val="left" w:pos="860"/>
        </w:tabs>
        <w:spacing w:before="120" w:line="240" w:lineRule="auto"/>
        <w:ind w:right="40" w:firstLine="686"/>
        <w:rPr>
          <w:spacing w:val="-2"/>
        </w:rPr>
      </w:pPr>
      <w:r w:rsidRPr="00A0567C">
        <w:rPr>
          <w:spacing w:val="-2"/>
        </w:rPr>
        <w:t>Thực hiện theo quy định tại Điều 2 Nghị quyết số 32/2025/NQ-HĐND ngày 10/12/2025 của Hội đồng nhân dân tỉnh Tuyên Quang về Quy định nguồn vốn ngân sách cấp tỉnh ủy thác qua Chi nhánh Ngân hàng Chính sách xã hội cấp tỉnh; mức cho vay, thời hạn cho vay, lãi suất cho vay trên địa bàn tỉnh Tuyên Quang.</w:t>
      </w:r>
    </w:p>
    <w:p w:rsidR="002F55DE" w:rsidRPr="00A0567C" w:rsidRDefault="002F55DE" w:rsidP="002F55DE">
      <w:pPr>
        <w:pStyle w:val="Bodytext30"/>
        <w:shd w:val="clear" w:color="auto" w:fill="auto"/>
        <w:spacing w:before="120" w:line="240" w:lineRule="auto"/>
        <w:ind w:left="23" w:right="40" w:firstLine="686"/>
        <w:jc w:val="both"/>
      </w:pPr>
      <w:r w:rsidRPr="00A0567C">
        <w:t>Điều 3. Nguyên tắc quản lý và sử dụng vốn vay</w:t>
      </w:r>
    </w:p>
    <w:p w:rsidR="002F55DE" w:rsidRPr="00A0567C" w:rsidRDefault="002F55DE" w:rsidP="002F55DE">
      <w:pPr>
        <w:pStyle w:val="BodyText2"/>
        <w:shd w:val="clear" w:color="auto" w:fill="auto"/>
        <w:tabs>
          <w:tab w:val="left" w:pos="860"/>
        </w:tabs>
        <w:spacing w:before="120" w:line="240" w:lineRule="auto"/>
        <w:ind w:right="40" w:firstLine="686"/>
        <w:rPr>
          <w:spacing w:val="-8"/>
        </w:rPr>
      </w:pPr>
      <w:r w:rsidRPr="00A0567C">
        <w:rPr>
          <w:spacing w:val="-8"/>
        </w:rPr>
        <w:t>1. Nguồn vốn ủy thác của ngân sách địa phương phải được quản lý, sử dụng đúng mục đích, hiệu quả, thực hiện bảo toàn vốn được cấp theo quy định của pháp luật.</w:t>
      </w:r>
    </w:p>
    <w:p w:rsidR="002F55DE" w:rsidRPr="00A0567C" w:rsidRDefault="002F55DE" w:rsidP="002F55DE">
      <w:pPr>
        <w:pStyle w:val="BodyText2"/>
        <w:shd w:val="clear" w:color="auto" w:fill="auto"/>
        <w:tabs>
          <w:tab w:val="left" w:pos="860"/>
        </w:tabs>
        <w:spacing w:before="120" w:line="240" w:lineRule="auto"/>
        <w:ind w:right="40" w:firstLine="686"/>
      </w:pPr>
      <w:r w:rsidRPr="00A0567C">
        <w:t>2. Nguồn vốn ủy thác cho chương trình tín dụng nào thì sử dụng cho chương trình tín dụng đó, Chi nhánh NHCSXH tỉnh không được tự ý điều chuyển vốn sử dụng cho chương trình khác nếu không được Ủy ban nhân dân tỉnh đồng ý bằng văn bản.</w:t>
      </w:r>
    </w:p>
    <w:p w:rsidR="002F55DE" w:rsidRPr="00A0567C" w:rsidRDefault="002F55DE" w:rsidP="002F55DE">
      <w:pPr>
        <w:pStyle w:val="BodyText2"/>
        <w:shd w:val="clear" w:color="auto" w:fill="auto"/>
        <w:tabs>
          <w:tab w:val="left" w:pos="860"/>
        </w:tabs>
        <w:spacing w:before="120" w:line="240" w:lineRule="auto"/>
        <w:ind w:right="40" w:firstLine="686"/>
      </w:pPr>
      <w:r w:rsidRPr="00A0567C">
        <w:t>3. Nguồn vốn ngân sách địa phương ủy thác qua Chi nhánh NHCSXH tỉnh được giải ngân, quản lý, sử dụng theo quy định tại Quyết định này và các quy định của nhà nước hiện hành liên quan. Nghiêm cấm các hành vi tham ô, chiếm dụng, lợi dụng vốn vay dưới mọi hình thức. Các tổ chức, cá nhân vi phạm sẽ bị xử lý theo quy định của pháp luật.</w:t>
      </w:r>
    </w:p>
    <w:p w:rsidR="002F55DE" w:rsidRPr="00A0567C" w:rsidRDefault="002F55DE" w:rsidP="002F55DE">
      <w:pPr>
        <w:pStyle w:val="BodyText2"/>
        <w:shd w:val="clear" w:color="auto" w:fill="auto"/>
        <w:tabs>
          <w:tab w:val="left" w:pos="709"/>
        </w:tabs>
        <w:spacing w:before="120" w:line="240" w:lineRule="auto"/>
        <w:ind w:right="40"/>
        <w:rPr>
          <w:b/>
          <w:sz w:val="2"/>
        </w:rPr>
      </w:pPr>
    </w:p>
    <w:p w:rsidR="002F55DE" w:rsidRPr="00A0567C" w:rsidRDefault="002F55DE" w:rsidP="002F55DE">
      <w:pPr>
        <w:pStyle w:val="BodyText2"/>
        <w:shd w:val="clear" w:color="auto" w:fill="auto"/>
        <w:tabs>
          <w:tab w:val="left" w:pos="709"/>
        </w:tabs>
        <w:spacing w:before="120" w:line="240" w:lineRule="auto"/>
        <w:ind w:right="40"/>
        <w:jc w:val="center"/>
      </w:pPr>
      <w:r w:rsidRPr="00A0567C">
        <w:rPr>
          <w:b/>
        </w:rPr>
        <w:t>Chương II</w:t>
      </w:r>
    </w:p>
    <w:p w:rsidR="002F55DE" w:rsidRPr="00A0567C" w:rsidRDefault="002F55DE" w:rsidP="002F55DE">
      <w:pPr>
        <w:tabs>
          <w:tab w:val="left" w:pos="540"/>
          <w:tab w:val="left" w:pos="720"/>
        </w:tabs>
        <w:spacing w:before="120"/>
        <w:ind w:firstLine="709"/>
        <w:jc w:val="center"/>
        <w:rPr>
          <w:b/>
          <w:sz w:val="28"/>
          <w:szCs w:val="28"/>
          <w:lang w:eastAsia="en-US"/>
        </w:rPr>
      </w:pPr>
      <w:r w:rsidRPr="00A0567C">
        <w:rPr>
          <w:b/>
          <w:sz w:val="28"/>
          <w:szCs w:val="28"/>
          <w:lang w:eastAsia="en-US"/>
        </w:rPr>
        <w:t>CÁC QUY ĐỊNH CỤ THỂ</w:t>
      </w:r>
    </w:p>
    <w:p w:rsidR="002F55DE" w:rsidRPr="00A0567C" w:rsidRDefault="002F55DE" w:rsidP="002F55DE">
      <w:pPr>
        <w:pStyle w:val="Bodytext30"/>
        <w:shd w:val="clear" w:color="auto" w:fill="auto"/>
        <w:spacing w:before="120" w:line="240" w:lineRule="auto"/>
        <w:ind w:right="40" w:firstLine="686"/>
        <w:jc w:val="both"/>
        <w:rPr>
          <w:b w:val="0"/>
        </w:rPr>
      </w:pPr>
      <w:r w:rsidRPr="00A0567C">
        <w:rPr>
          <w:lang w:val="vi-VN"/>
        </w:rPr>
        <w:t xml:space="preserve">Điều 4. </w:t>
      </w:r>
      <w:r w:rsidRPr="00A0567C">
        <w:rPr>
          <w:lang w:val="nb-NO"/>
        </w:rPr>
        <w:t xml:space="preserve">Cơ quan chuyên môn được Ủy ban nhân dân tỉnh ủy quyền ký hợp đồng ủy thác với </w:t>
      </w:r>
      <w:r w:rsidRPr="00A0567C">
        <w:t>Chi nhánh NHCSXH tỉnh</w:t>
      </w:r>
    </w:p>
    <w:p w:rsidR="002F55DE" w:rsidRPr="00A0567C" w:rsidRDefault="002F55DE" w:rsidP="002F55DE">
      <w:pPr>
        <w:spacing w:before="120"/>
        <w:ind w:firstLine="686"/>
        <w:jc w:val="both"/>
        <w:rPr>
          <w:sz w:val="28"/>
          <w:szCs w:val="28"/>
        </w:rPr>
      </w:pPr>
      <w:r w:rsidRPr="00A0567C">
        <w:rPr>
          <w:sz w:val="28"/>
          <w:szCs w:val="28"/>
        </w:rPr>
        <w:lastRenderedPageBreak/>
        <w:t>1. Giao Sở Nội Vụ ký hợp đồng ủy thác với Chi nhánh NHCSXH tỉnh.</w:t>
      </w:r>
    </w:p>
    <w:p w:rsidR="002F55DE" w:rsidRPr="00A0567C" w:rsidRDefault="002F55DE" w:rsidP="002F55DE">
      <w:pPr>
        <w:spacing w:before="120"/>
        <w:ind w:firstLine="686"/>
        <w:jc w:val="both"/>
        <w:rPr>
          <w:sz w:val="28"/>
          <w:szCs w:val="28"/>
        </w:rPr>
      </w:pPr>
      <w:r w:rsidRPr="00A0567C">
        <w:rPr>
          <w:sz w:val="28"/>
          <w:szCs w:val="28"/>
        </w:rPr>
        <w:t>2. Trường hợp có thay đổi về nội dung hợp đồng ủy thác, Sở Nội Vụ và Chi nhánh NHCSXH tỉnh thực hiện điều chỉnh hợp đồng ủy thác hoặc ký bổ sung phụ lục hợp đồng ủy thác.</w:t>
      </w:r>
    </w:p>
    <w:p w:rsidR="002F55DE" w:rsidRPr="00A0567C" w:rsidRDefault="002F55DE" w:rsidP="002F55DE">
      <w:pPr>
        <w:pStyle w:val="BodyText2"/>
        <w:shd w:val="clear" w:color="auto" w:fill="auto"/>
        <w:tabs>
          <w:tab w:val="left" w:pos="866"/>
        </w:tabs>
        <w:spacing w:before="120" w:line="240" w:lineRule="auto"/>
        <w:ind w:right="20" w:firstLine="686"/>
        <w:rPr>
          <w:b/>
          <w:lang w:val="vi-VN"/>
        </w:rPr>
      </w:pPr>
      <w:r w:rsidRPr="00A0567C">
        <w:rPr>
          <w:b/>
          <w:lang w:val="vi-VN"/>
        </w:rPr>
        <w:t xml:space="preserve">Điều </w:t>
      </w:r>
      <w:r w:rsidRPr="00A0567C">
        <w:rPr>
          <w:b/>
        </w:rPr>
        <w:t>5</w:t>
      </w:r>
      <w:r w:rsidRPr="00A0567C">
        <w:rPr>
          <w:b/>
          <w:lang w:val="vi-VN"/>
        </w:rPr>
        <w:t>.</w:t>
      </w:r>
      <w:r w:rsidRPr="00A0567C">
        <w:rPr>
          <w:b/>
          <w:bCs/>
          <w:lang w:val="nb-NO"/>
        </w:rPr>
        <w:t xml:space="preserve"> </w:t>
      </w:r>
      <w:r w:rsidRPr="00A0567C">
        <w:rPr>
          <w:b/>
          <w:lang w:val="vi-VN"/>
        </w:rPr>
        <w:t xml:space="preserve">Lập, phân bổ dự toán và quy trình chuyển nguồn vốn ngân sách </w:t>
      </w:r>
      <w:r w:rsidRPr="00A0567C">
        <w:rPr>
          <w:b/>
        </w:rPr>
        <w:t>cấp tỉnh</w:t>
      </w:r>
      <w:r w:rsidRPr="00A0567C">
        <w:rPr>
          <w:b/>
          <w:lang w:val="vi-VN"/>
        </w:rPr>
        <w:t xml:space="preserve"> hằng năm, giai đoạn để cho vay đối với người nghèo và các đối tượng chính sách khác</w:t>
      </w:r>
    </w:p>
    <w:p w:rsidR="002F55DE" w:rsidRPr="00A0567C" w:rsidRDefault="002F55DE" w:rsidP="002F55DE">
      <w:pPr>
        <w:pStyle w:val="BodyText2"/>
        <w:shd w:val="clear" w:color="auto" w:fill="auto"/>
        <w:tabs>
          <w:tab w:val="left" w:pos="709"/>
        </w:tabs>
        <w:spacing w:before="120" w:line="240" w:lineRule="auto"/>
        <w:rPr>
          <w:lang w:val="vi-VN"/>
        </w:rPr>
      </w:pPr>
      <w:r w:rsidRPr="00A0567C">
        <w:rPr>
          <w:lang w:val="vi-VN"/>
        </w:rPr>
        <w:tab/>
        <w:t xml:space="preserve">1. Lập dự toán ngân sách, xây dựng kế hoạch đầu tư công trung hạn và hằng năm để ủy thác qua </w:t>
      </w:r>
      <w:r w:rsidRPr="00A0567C">
        <w:t>Chi nhánh NHCSXH tỉnh</w:t>
      </w:r>
    </w:p>
    <w:p w:rsidR="002F55DE" w:rsidRPr="00A0567C" w:rsidRDefault="002F55DE" w:rsidP="002F55DE">
      <w:pPr>
        <w:pStyle w:val="BodyText2"/>
        <w:shd w:val="clear" w:color="auto" w:fill="auto"/>
        <w:tabs>
          <w:tab w:val="left" w:pos="709"/>
        </w:tabs>
        <w:spacing w:before="120" w:line="240" w:lineRule="auto"/>
        <w:ind w:right="20"/>
      </w:pPr>
      <w:r w:rsidRPr="00A0567C">
        <w:rPr>
          <w:lang w:val="vi-VN"/>
        </w:rPr>
        <w:tab/>
        <w:t xml:space="preserve">a) Hằng năm, cùng thời điểm xây dựng dự toán ngân sách, kế hoạch đầu tư công trung hạn và hằng năm, </w:t>
      </w:r>
      <w:r w:rsidRPr="00A0567C">
        <w:t>Chi nhánh NHCSXH tỉnh</w:t>
      </w:r>
      <w:r w:rsidRPr="00A0567C">
        <w:rPr>
          <w:lang w:val="vi-VN"/>
        </w:rPr>
        <w:t xml:space="preserve"> chủ động phối hợp với các cơ quan quản lý đối tượng vay vốn tổng hợp nhu cầu vay vốn tín dụng chính sách xã hội của các đối tượng, xác định nhu cầu bổ sung nguồn vốn ngân sách </w:t>
      </w:r>
      <w:r w:rsidRPr="00A0567C">
        <w:t>cấp tỉnh</w:t>
      </w:r>
      <w:r w:rsidRPr="00A0567C">
        <w:rPr>
          <w:lang w:val="vi-VN"/>
        </w:rPr>
        <w:t xml:space="preserve"> ủy thác sang </w:t>
      </w:r>
      <w:r w:rsidRPr="00A0567C">
        <w:t>Chi nhánh NHCSXH tỉnh</w:t>
      </w:r>
      <w:r w:rsidRPr="00A0567C">
        <w:rPr>
          <w:lang w:val="vi-VN"/>
        </w:rPr>
        <w:t xml:space="preserve"> để thực hiện tín dụng chính sách xã hội, gửi Sở Tài chính tổng hợp, báo cáo cấp có thẩm quyề</w:t>
      </w:r>
      <w:r w:rsidRPr="00A0567C">
        <w:t>n.</w:t>
      </w:r>
    </w:p>
    <w:p w:rsidR="002F55DE" w:rsidRPr="00A0567C" w:rsidRDefault="002F55DE" w:rsidP="002F55DE">
      <w:pPr>
        <w:pStyle w:val="BodyText2"/>
        <w:shd w:val="clear" w:color="auto" w:fill="auto"/>
        <w:tabs>
          <w:tab w:val="left" w:pos="709"/>
        </w:tabs>
        <w:spacing w:before="120" w:line="240" w:lineRule="auto"/>
        <w:ind w:right="20"/>
      </w:pPr>
      <w:r w:rsidRPr="00A0567C">
        <w:tab/>
      </w:r>
      <w:r w:rsidRPr="00A0567C">
        <w:rPr>
          <w:lang w:val="vi-VN"/>
        </w:rPr>
        <w:t xml:space="preserve">b) Trên cơ sở đề xuất bổ sung nguồn vốn ủy thác của </w:t>
      </w:r>
      <w:r w:rsidRPr="00A0567C">
        <w:t>Chi nhánh NHCSXH tỉnh</w:t>
      </w:r>
      <w:r w:rsidRPr="00A0567C">
        <w:rPr>
          <w:lang w:val="vi-VN"/>
        </w:rPr>
        <w:t xml:space="preserve">, căn cứ khả năng cân đối ngân sách và mục tiêu phát triển kinh tế xã hội của </w:t>
      </w:r>
      <w:r w:rsidRPr="00A0567C">
        <w:t>địa phương</w:t>
      </w:r>
      <w:r w:rsidRPr="00A0567C">
        <w:rPr>
          <w:lang w:val="vi-VN"/>
        </w:rPr>
        <w:t xml:space="preserve">, Sở Tài chính tổng hợp, báo cáo </w:t>
      </w:r>
      <w:r w:rsidRPr="00A0567C">
        <w:t>UBND</w:t>
      </w:r>
      <w:r w:rsidRPr="00A0567C">
        <w:rPr>
          <w:lang w:val="vi-VN"/>
        </w:rPr>
        <w:t xml:space="preserve"> </w:t>
      </w:r>
      <w:r w:rsidRPr="00A0567C">
        <w:t>tỉnh</w:t>
      </w:r>
      <w:r w:rsidRPr="00A0567C">
        <w:rPr>
          <w:lang w:val="vi-VN"/>
        </w:rPr>
        <w:t xml:space="preserve"> trình Hội đồng nhân dân </w:t>
      </w:r>
      <w:r w:rsidRPr="00A0567C">
        <w:t>tỉnh</w:t>
      </w:r>
      <w:r w:rsidRPr="00A0567C">
        <w:rPr>
          <w:lang w:val="vi-VN"/>
        </w:rPr>
        <w:t xml:space="preserve"> bổ sung nguồn vốn ủy thác qua </w:t>
      </w:r>
      <w:r w:rsidRPr="00A0567C">
        <w:t>Chi nhánh NHCSXH tỉnh</w:t>
      </w:r>
      <w:r w:rsidRPr="00A0567C">
        <w:rPr>
          <w:lang w:val="vi-VN"/>
        </w:rPr>
        <w:t xml:space="preserve"> cho vay theo quy định, đảm bảo phù hợp với quy định của Luật Ngân sách</w:t>
      </w:r>
      <w:r w:rsidRPr="00A0567C">
        <w:t xml:space="preserve"> nhà nước</w:t>
      </w:r>
      <w:r w:rsidRPr="00A0567C">
        <w:rPr>
          <w:lang w:val="vi-VN"/>
        </w:rPr>
        <w:t xml:space="preserve"> và Luật Đầu tư công.</w:t>
      </w:r>
    </w:p>
    <w:p w:rsidR="002F55DE" w:rsidRPr="00A0567C" w:rsidRDefault="002F55DE" w:rsidP="002F55DE">
      <w:pPr>
        <w:pStyle w:val="BodyText2"/>
        <w:shd w:val="clear" w:color="auto" w:fill="auto"/>
        <w:tabs>
          <w:tab w:val="left" w:pos="709"/>
        </w:tabs>
        <w:spacing w:before="120" w:line="240" w:lineRule="auto"/>
        <w:ind w:right="20"/>
      </w:pPr>
      <w:r w:rsidRPr="00A0567C">
        <w:tab/>
      </w:r>
      <w:r w:rsidRPr="00A0567C">
        <w:rPr>
          <w:lang w:val="vi-VN"/>
        </w:rPr>
        <w:t>c) Trường hợp phát sinh nhu cầu bổ sung nguồn vốn</w:t>
      </w:r>
      <w:r w:rsidRPr="00A0567C">
        <w:t xml:space="preserve"> ủy thác</w:t>
      </w:r>
      <w:r w:rsidRPr="00A0567C">
        <w:rPr>
          <w:lang w:val="vi-VN"/>
        </w:rPr>
        <w:t xml:space="preserve"> trong năm, </w:t>
      </w:r>
      <w:r w:rsidRPr="00A0567C">
        <w:t>Chi nhánh NHCSXH tỉnh</w:t>
      </w:r>
      <w:r w:rsidRPr="00A0567C">
        <w:rPr>
          <w:lang w:val="vi-VN"/>
        </w:rPr>
        <w:t xml:space="preserve"> phối hợp với các cơ quan quản lý đối tượng vay vốn tổng hợp nhu cầu vay vốn</w:t>
      </w:r>
      <w:r w:rsidRPr="00A0567C">
        <w:t xml:space="preserve">, báo cáo UBND tỉnh </w:t>
      </w:r>
      <w:r w:rsidRPr="00A0567C">
        <w:rPr>
          <w:lang w:val="vi-VN"/>
        </w:rPr>
        <w:t>theo quy định của pháp luật.</w:t>
      </w:r>
    </w:p>
    <w:p w:rsidR="002F55DE" w:rsidRPr="00A0567C" w:rsidRDefault="002F55DE" w:rsidP="002F55DE">
      <w:pPr>
        <w:pStyle w:val="BodyText2"/>
        <w:shd w:val="clear" w:color="auto" w:fill="auto"/>
        <w:spacing w:before="120" w:line="240" w:lineRule="auto"/>
        <w:ind w:firstLine="686"/>
        <w:rPr>
          <w:lang w:val="vi-VN"/>
        </w:rPr>
      </w:pPr>
      <w:r w:rsidRPr="00A0567C">
        <w:t>2</w:t>
      </w:r>
      <w:r w:rsidRPr="00A0567C">
        <w:rPr>
          <w:lang w:val="vi-VN"/>
        </w:rPr>
        <w:t xml:space="preserve">. Quy trình chuyển </w:t>
      </w:r>
      <w:r w:rsidRPr="00A0567C">
        <w:t>kinh phí</w:t>
      </w:r>
      <w:r w:rsidRPr="00A0567C">
        <w:rPr>
          <w:lang w:val="vi-VN"/>
        </w:rPr>
        <w:t xml:space="preserve"> ngân sách </w:t>
      </w:r>
      <w:r w:rsidRPr="00A0567C">
        <w:t xml:space="preserve">cấp tỉnh </w:t>
      </w:r>
      <w:r w:rsidRPr="00A0567C">
        <w:rPr>
          <w:lang w:val="vi-VN"/>
        </w:rPr>
        <w:t>ủy thác</w:t>
      </w:r>
      <w:r w:rsidRPr="00A0567C">
        <w:t xml:space="preserve"> sang Chi nhánh NHCSXH tỉnh</w:t>
      </w:r>
      <w:r w:rsidRPr="00A0567C">
        <w:rPr>
          <w:lang w:val="vi-VN"/>
        </w:rPr>
        <w:t xml:space="preserve"> </w:t>
      </w:r>
    </w:p>
    <w:p w:rsidR="002F55DE" w:rsidRPr="00A0567C" w:rsidRDefault="002F55DE" w:rsidP="002F55DE">
      <w:pPr>
        <w:pStyle w:val="BodyText2"/>
        <w:shd w:val="clear" w:color="auto" w:fill="auto"/>
        <w:spacing w:before="120" w:line="240" w:lineRule="auto"/>
        <w:ind w:firstLine="686"/>
        <w:rPr>
          <w:lang w:val="vi-VN"/>
        </w:rPr>
      </w:pPr>
      <w:r w:rsidRPr="00A0567C">
        <w:rPr>
          <w:lang w:val="vi-VN"/>
        </w:rPr>
        <w:t>Căn cứ nguồn vốn ngân sách</w:t>
      </w:r>
      <w:r w:rsidRPr="00A0567C">
        <w:t xml:space="preserve"> cấp tỉnh</w:t>
      </w:r>
      <w:r w:rsidRPr="00A0567C">
        <w:rPr>
          <w:lang w:val="vi-VN"/>
        </w:rPr>
        <w:t xml:space="preserve"> ủy thác hằng năm, Quyết định phân bổ nguồn vốn cho vay được </w:t>
      </w:r>
      <w:r w:rsidRPr="00A0567C">
        <w:t>UBND tỉnh</w:t>
      </w:r>
      <w:r w:rsidRPr="00A0567C">
        <w:rPr>
          <w:lang w:val="vi-VN"/>
        </w:rPr>
        <w:t xml:space="preserve"> phê duyệt, Sở Tài chính chuyển nguồn vốn ngân sách</w:t>
      </w:r>
      <w:r w:rsidRPr="00A0567C">
        <w:t xml:space="preserve"> cấp tỉnh</w:t>
      </w:r>
      <w:r w:rsidRPr="00A0567C">
        <w:rPr>
          <w:lang w:val="vi-VN"/>
        </w:rPr>
        <w:t xml:space="preserve"> ủy thác cho </w:t>
      </w:r>
      <w:r w:rsidRPr="00A0567C">
        <w:t>Chi nhánh NHCSXH tỉnh</w:t>
      </w:r>
      <w:r w:rsidRPr="00A0567C">
        <w:rPr>
          <w:lang w:val="vi-VN"/>
        </w:rPr>
        <w:t>. Sở Tài chính thực hiện chuyển tiền bằng hình thức lệnh chi tiền và hạch toán chi ngân sách nhà nước theo Mục lục ngân sách nhà nước hiện hành.</w:t>
      </w:r>
    </w:p>
    <w:p w:rsidR="002F55DE" w:rsidRPr="00A0567C" w:rsidRDefault="002F55DE" w:rsidP="002F55DE">
      <w:pPr>
        <w:pStyle w:val="Bodytext30"/>
        <w:shd w:val="clear" w:color="auto" w:fill="auto"/>
        <w:spacing w:before="120" w:line="240" w:lineRule="auto"/>
        <w:ind w:firstLine="686"/>
        <w:jc w:val="both"/>
        <w:rPr>
          <w:lang w:val="nb-NO"/>
        </w:rPr>
      </w:pPr>
      <w:r w:rsidRPr="00A0567C">
        <w:rPr>
          <w:lang w:val="nb-NO"/>
        </w:rPr>
        <w:t>Đ</w:t>
      </w:r>
      <w:r w:rsidRPr="00A0567C">
        <w:rPr>
          <w:bCs w:val="0"/>
          <w:lang w:val="nb-NO"/>
        </w:rPr>
        <w:t>i</w:t>
      </w:r>
      <w:r w:rsidRPr="00A0567C">
        <w:rPr>
          <w:lang w:val="nb-NO"/>
        </w:rPr>
        <w:t>ều</w:t>
      </w:r>
      <w:r w:rsidRPr="00A0567C">
        <w:rPr>
          <w:bCs w:val="0"/>
          <w:lang w:val="nb-NO"/>
        </w:rPr>
        <w:t xml:space="preserve"> 6. </w:t>
      </w:r>
      <w:r w:rsidRPr="00A0567C">
        <w:rPr>
          <w:lang w:val="nb-NO"/>
        </w:rPr>
        <w:t>Đối tượng cho vay</w:t>
      </w:r>
    </w:p>
    <w:p w:rsidR="002F55DE" w:rsidRPr="00A0567C" w:rsidRDefault="002F55DE" w:rsidP="002F55DE">
      <w:pPr>
        <w:pStyle w:val="BodyText2"/>
        <w:shd w:val="clear" w:color="auto" w:fill="auto"/>
        <w:spacing w:before="120" w:line="240" w:lineRule="auto"/>
        <w:ind w:right="20" w:firstLine="686"/>
        <w:rPr>
          <w:bCs/>
        </w:rPr>
      </w:pPr>
      <w:r w:rsidRPr="00A0567C">
        <w:rPr>
          <w:bCs/>
          <w:lang w:val="nb-NO"/>
        </w:rPr>
        <w:t>1.</w:t>
      </w:r>
      <w:r w:rsidRPr="00A0567C">
        <w:rPr>
          <w:bCs/>
          <w:lang w:val="vi-VN"/>
        </w:rPr>
        <w:t xml:space="preserve"> Hộ nghèo; </w:t>
      </w:r>
      <w:r w:rsidRPr="00A0567C">
        <w:rPr>
          <w:bCs/>
        </w:rPr>
        <w:t>h</w:t>
      </w:r>
      <w:r w:rsidRPr="00A0567C">
        <w:rPr>
          <w:bCs/>
          <w:lang w:val="vi-VN"/>
        </w:rPr>
        <w:t>ộ cận nghèo; đối tượng cần vay vốn hỗ trợ tạo việc làm, duy trì và mở rộng việc làm; người chấp hành xong án phạt tù</w:t>
      </w:r>
      <w:r w:rsidRPr="00A0567C">
        <w:rPr>
          <w:bCs/>
        </w:rPr>
        <w:t xml:space="preserve"> </w:t>
      </w:r>
      <w:r w:rsidRPr="00A0567C">
        <w:rPr>
          <w:rFonts w:cs="Arial"/>
          <w:lang w:val="vi-VN"/>
        </w:rPr>
        <w:t xml:space="preserve">và các đối tượng chính sách khác tương ứng với từng chương trình tín dụng theo quy </w:t>
      </w:r>
      <w:r w:rsidRPr="00A0567C">
        <w:rPr>
          <w:bCs/>
          <w:lang w:val="vi-VN"/>
        </w:rPr>
        <w:t>định hiện hành của Chính phủ, Thủ tướng Chính phủ.</w:t>
      </w:r>
    </w:p>
    <w:p w:rsidR="002F55DE" w:rsidRPr="00A0567C" w:rsidRDefault="002F55DE" w:rsidP="002F55DE">
      <w:pPr>
        <w:pStyle w:val="BodyText2"/>
        <w:shd w:val="clear" w:color="auto" w:fill="auto"/>
        <w:spacing w:before="120" w:line="240" w:lineRule="auto"/>
        <w:ind w:right="20" w:firstLine="686"/>
        <w:rPr>
          <w:lang w:val="nb-NO"/>
        </w:rPr>
      </w:pPr>
      <w:r w:rsidRPr="00A0567C">
        <w:rPr>
          <w:lang w:val="nb-NO"/>
        </w:rPr>
        <w:t>2. Các đối tượng chính sách khác tại địa phương (ngoài đối tượng quy định tại Khoản 1 Điều này) do Hội đồng nhân dân tỉnh quyết định (nếu có).</w:t>
      </w:r>
    </w:p>
    <w:p w:rsidR="002F55DE" w:rsidRPr="00A0567C" w:rsidRDefault="002F55DE" w:rsidP="002F55DE">
      <w:pPr>
        <w:pStyle w:val="Bodytext30"/>
        <w:shd w:val="clear" w:color="auto" w:fill="auto"/>
        <w:spacing w:before="120" w:line="240" w:lineRule="auto"/>
        <w:ind w:firstLine="686"/>
        <w:jc w:val="both"/>
        <w:rPr>
          <w:lang w:val="nb-NO"/>
        </w:rPr>
      </w:pPr>
      <w:r w:rsidRPr="00A0567C">
        <w:rPr>
          <w:lang w:val="nb-NO"/>
        </w:rPr>
        <w:t>Điều 7. Mục đích sử dụng vốn vay</w:t>
      </w:r>
    </w:p>
    <w:p w:rsidR="002F55DE" w:rsidRPr="00A0567C" w:rsidRDefault="002F55DE" w:rsidP="002F55DE">
      <w:pPr>
        <w:pStyle w:val="BodyText2"/>
        <w:shd w:val="clear" w:color="auto" w:fill="auto"/>
        <w:spacing w:before="120" w:line="240" w:lineRule="auto"/>
        <w:ind w:right="20" w:firstLine="686"/>
        <w:rPr>
          <w:lang w:val="nb-NO"/>
        </w:rPr>
      </w:pPr>
      <w:r w:rsidRPr="00A0567C">
        <w:rPr>
          <w:lang w:val="nb-NO"/>
        </w:rPr>
        <w:t xml:space="preserve">1. Đối với đối tượng cho vay theo quy định của Chính phủ, Thủ tướng Chính </w:t>
      </w:r>
      <w:r w:rsidRPr="00A0567C">
        <w:rPr>
          <w:lang w:val="nb-NO"/>
        </w:rPr>
        <w:lastRenderedPageBreak/>
        <w:t>phủ: Thực hiện theo quy định hiện hành của Chính phủ, Thủ tướng Chính phủ và hướng dẫn của Tổng Giám đốc NHCSXH đối với từng chương trình cho vay.</w:t>
      </w:r>
    </w:p>
    <w:p w:rsidR="002F55DE" w:rsidRPr="00A0567C" w:rsidRDefault="002F55DE" w:rsidP="002F55DE">
      <w:pPr>
        <w:pStyle w:val="BodyText2"/>
        <w:shd w:val="clear" w:color="auto" w:fill="auto"/>
        <w:spacing w:before="120" w:line="240" w:lineRule="auto"/>
        <w:ind w:right="20" w:firstLine="686"/>
        <w:rPr>
          <w:lang w:val="nb-NO"/>
        </w:rPr>
      </w:pPr>
      <w:r w:rsidRPr="00A0567C">
        <w:rPr>
          <w:lang w:val="nb-NO"/>
        </w:rPr>
        <w:t>2. Các đối tượng chính sách khác tại địa phương: Thực hiện theo quy định của Hội đồng nhân dân tỉnh (nếu có).</w:t>
      </w:r>
    </w:p>
    <w:p w:rsidR="002F55DE" w:rsidRPr="00A0567C" w:rsidRDefault="002F55DE" w:rsidP="002F55DE">
      <w:pPr>
        <w:pStyle w:val="BodyText2"/>
        <w:shd w:val="clear" w:color="auto" w:fill="auto"/>
        <w:spacing w:before="120" w:line="240" w:lineRule="auto"/>
        <w:ind w:right="20" w:firstLine="686"/>
        <w:rPr>
          <w:b/>
          <w:lang w:val="nb-NO"/>
        </w:rPr>
      </w:pPr>
      <w:r w:rsidRPr="00A0567C">
        <w:rPr>
          <w:b/>
          <w:lang w:val="nb-NO"/>
        </w:rPr>
        <w:t>Điều 8. Mức cho vay, thời hạn cho vay, lãi suất cho vay</w:t>
      </w:r>
    </w:p>
    <w:p w:rsidR="002F55DE" w:rsidRPr="00A0567C" w:rsidRDefault="002F55DE" w:rsidP="002F55DE">
      <w:pPr>
        <w:pStyle w:val="BodyText2"/>
        <w:shd w:val="clear" w:color="auto" w:fill="auto"/>
        <w:tabs>
          <w:tab w:val="left" w:pos="860"/>
        </w:tabs>
        <w:spacing w:before="120" w:line="240" w:lineRule="auto"/>
        <w:ind w:right="40" w:firstLine="686"/>
        <w:rPr>
          <w:spacing w:val="-2"/>
        </w:rPr>
      </w:pPr>
      <w:r w:rsidRPr="00A0567C">
        <w:rPr>
          <w:spacing w:val="-2"/>
        </w:rPr>
        <w:t>Thực hiện theo quy định tại Điều 3 Nghị quyết số 32/2025/NQ-HĐND.</w:t>
      </w:r>
    </w:p>
    <w:p w:rsidR="002F55DE" w:rsidRPr="00A0567C" w:rsidRDefault="002F55DE" w:rsidP="002F55DE">
      <w:pPr>
        <w:pStyle w:val="BodyText2"/>
        <w:tabs>
          <w:tab w:val="left" w:pos="863"/>
        </w:tabs>
        <w:spacing w:before="120"/>
        <w:ind w:right="20" w:firstLine="686"/>
        <w:rPr>
          <w:rFonts w:eastAsia="Times New Roman" w:cs="Times New Roman"/>
          <w:lang w:val="vi-VN" w:eastAsia="vi-VN"/>
        </w:rPr>
      </w:pPr>
      <w:r w:rsidRPr="00A0567C">
        <w:rPr>
          <w:b/>
          <w:lang w:val="nb-NO"/>
        </w:rPr>
        <w:t>Điều 9. Gia hạn nợ, chuyển nợ quá hạn</w:t>
      </w:r>
    </w:p>
    <w:p w:rsidR="002F55DE" w:rsidRPr="00A0567C" w:rsidRDefault="002F55DE" w:rsidP="002F55DE">
      <w:pPr>
        <w:pStyle w:val="BodyText2"/>
        <w:shd w:val="clear" w:color="auto" w:fill="auto"/>
        <w:tabs>
          <w:tab w:val="left" w:pos="860"/>
        </w:tabs>
        <w:spacing w:before="120" w:line="240" w:lineRule="auto"/>
        <w:ind w:right="40" w:firstLine="686"/>
        <w:rPr>
          <w:spacing w:val="-2"/>
        </w:rPr>
      </w:pPr>
      <w:r w:rsidRPr="00A0567C">
        <w:rPr>
          <w:spacing w:val="-2"/>
        </w:rPr>
        <w:t>Thực hiện theo quy định tại khoản 6, Điều 5 Thông tư số 11/2017/TT-BTC quy định về quản lý và sử dụng nguồn vốn ngân sách địa phương ủy thác qua Ngân hàng Chính sách xã hội để cho vay đối với người nghèo và các đối tượng chính sách khác được sửa đổi, bổ sung bởi Thông tư số 84/2025/TT-BTC.</w:t>
      </w:r>
    </w:p>
    <w:p w:rsidR="002F55DE" w:rsidRPr="00A0567C" w:rsidRDefault="002F55DE" w:rsidP="002F55DE">
      <w:pPr>
        <w:pStyle w:val="Bodytext30"/>
        <w:shd w:val="clear" w:color="auto" w:fill="auto"/>
        <w:spacing w:before="120" w:line="240" w:lineRule="auto"/>
        <w:ind w:firstLine="686"/>
        <w:jc w:val="both"/>
        <w:rPr>
          <w:lang w:val="nb-NO"/>
        </w:rPr>
      </w:pPr>
      <w:r w:rsidRPr="00A0567C">
        <w:rPr>
          <w:lang w:val="nb-NO"/>
        </w:rPr>
        <w:t>Điều 10. Quản lý và sử dụng tiền lãi cho vay</w:t>
      </w:r>
    </w:p>
    <w:p w:rsidR="002F55DE" w:rsidRPr="00A0567C" w:rsidRDefault="002F55DE" w:rsidP="002F55DE">
      <w:pPr>
        <w:widowControl w:val="0"/>
        <w:spacing w:before="120"/>
        <w:ind w:firstLine="686"/>
        <w:jc w:val="both"/>
        <w:rPr>
          <w:sz w:val="28"/>
          <w:szCs w:val="28"/>
          <w:lang w:eastAsia="en-US"/>
        </w:rPr>
      </w:pPr>
      <w:r w:rsidRPr="00A0567C">
        <w:rPr>
          <w:sz w:val="28"/>
          <w:szCs w:val="28"/>
          <w:lang w:eastAsia="en-US"/>
        </w:rPr>
        <w:t xml:space="preserve">Chi nhánh NHCSXH </w:t>
      </w:r>
      <w:r w:rsidRPr="00A0567C">
        <w:rPr>
          <w:sz w:val="28"/>
          <w:szCs w:val="28"/>
          <w:lang w:val="en-US" w:eastAsia="en-US"/>
        </w:rPr>
        <w:t>tỉnh</w:t>
      </w:r>
      <w:r w:rsidRPr="00A0567C">
        <w:rPr>
          <w:sz w:val="28"/>
          <w:szCs w:val="28"/>
          <w:lang w:eastAsia="en-US"/>
        </w:rPr>
        <w:t xml:space="preserve"> quản lý và hạch toán số tiền lãi thu được từ hoạt động cho vay bằng nguồn vốn ngân sách </w:t>
      </w:r>
      <w:r w:rsidRPr="00A0567C">
        <w:rPr>
          <w:sz w:val="28"/>
          <w:szCs w:val="28"/>
          <w:lang w:val="en-US" w:eastAsia="en-US"/>
        </w:rPr>
        <w:t>tỉnh</w:t>
      </w:r>
      <w:r w:rsidRPr="00A0567C">
        <w:rPr>
          <w:sz w:val="28"/>
          <w:szCs w:val="28"/>
          <w:lang w:val="nb-NO" w:eastAsia="en-US"/>
        </w:rPr>
        <w:t xml:space="preserve"> </w:t>
      </w:r>
      <w:r w:rsidRPr="00A0567C">
        <w:rPr>
          <w:sz w:val="28"/>
          <w:szCs w:val="28"/>
          <w:lang w:eastAsia="en-US"/>
        </w:rPr>
        <w:t>ủy thác vào thu nhập của NHCSXH và quản lý, sử dụng theo nguyên tắc thứ tự ưu tiên như sau:</w:t>
      </w:r>
    </w:p>
    <w:p w:rsidR="002F55DE" w:rsidRPr="00A0567C" w:rsidRDefault="002F55DE" w:rsidP="002F55DE">
      <w:pPr>
        <w:widowControl w:val="0"/>
        <w:spacing w:before="120"/>
        <w:ind w:firstLine="686"/>
        <w:jc w:val="both"/>
        <w:rPr>
          <w:sz w:val="28"/>
          <w:szCs w:val="28"/>
          <w:lang w:eastAsia="en-US"/>
        </w:rPr>
      </w:pPr>
      <w:r w:rsidRPr="00A0567C">
        <w:rPr>
          <w:sz w:val="28"/>
          <w:szCs w:val="28"/>
          <w:lang w:val="en-US" w:eastAsia="en-US"/>
        </w:rPr>
        <w:t>1.</w:t>
      </w:r>
      <w:r w:rsidRPr="00A0567C">
        <w:rPr>
          <w:sz w:val="28"/>
          <w:szCs w:val="28"/>
          <w:lang w:eastAsia="en-US"/>
        </w:rPr>
        <w:t xml:space="preserve"> Chi nhánh NHCSXH tỉnh thực hiện trích lập và quản lý dự phòng rủi ro tín dụng chung theo quy định tại Quy chế quản lý tài chính của NHCSXH và các văn bản hướng dẫn của Bộ Tài chính. Trường hợp tại thời điểm trích lập dự phòng rủi ro tín dụng, tỷ lệ nợ quá hạn và nợ khoanh thấp hơn 0,75% thì Quỹ dự phòng rủi ro tín dụng bằng 0,75% tính trên số dư nợ cho vay (không bao gồm nợ quá hạn và nợ khoanh);</w:t>
      </w:r>
    </w:p>
    <w:p w:rsidR="002F55DE" w:rsidRPr="00A0567C" w:rsidRDefault="002F55DE" w:rsidP="002F55DE">
      <w:pPr>
        <w:widowControl w:val="0"/>
        <w:spacing w:before="120"/>
        <w:ind w:firstLine="686"/>
        <w:jc w:val="both"/>
        <w:rPr>
          <w:sz w:val="28"/>
          <w:szCs w:val="28"/>
          <w:lang w:eastAsia="en-US"/>
        </w:rPr>
      </w:pPr>
      <w:r w:rsidRPr="00A0567C">
        <w:rPr>
          <w:sz w:val="28"/>
          <w:szCs w:val="28"/>
          <w:lang w:val="en-US" w:eastAsia="en-US"/>
        </w:rPr>
        <w:t xml:space="preserve">2. </w:t>
      </w:r>
      <w:r w:rsidRPr="00A0567C">
        <w:rPr>
          <w:sz w:val="28"/>
          <w:szCs w:val="28"/>
          <w:lang w:eastAsia="en-US"/>
        </w:rPr>
        <w:t>Trích phí quản lý nguồn vốn ủy thác cho Chi nhánh NHCSXH tỉnh theo dư nợ cho vay bình quân. Mức phí quản lý tối thiểu bằng mức phí quản lý Thủ tướng Chính phủ giao cho NHCSXH trong từng thời kỳ. Trường hợp lãi thu được sau khi trích quỹ dự phòng rủi ro tín dụng chung không đủ trích phí quản lý cho NHCSXH theo quy định, ngân sách cấp tỉnh cấp bù phần còn thiếu cho Chi nhánh NHCSXH tỉnh nơi nhận ủy thác.</w:t>
      </w:r>
    </w:p>
    <w:p w:rsidR="002F55DE" w:rsidRPr="00A0567C" w:rsidRDefault="002F55DE" w:rsidP="002F55DE">
      <w:pPr>
        <w:widowControl w:val="0"/>
        <w:spacing w:before="120"/>
        <w:ind w:firstLine="686"/>
        <w:jc w:val="both"/>
        <w:rPr>
          <w:sz w:val="28"/>
          <w:szCs w:val="28"/>
          <w:lang w:val="en-US" w:eastAsia="en-US"/>
        </w:rPr>
      </w:pPr>
      <w:r w:rsidRPr="00A0567C">
        <w:rPr>
          <w:sz w:val="28"/>
          <w:szCs w:val="28"/>
          <w:lang w:eastAsia="en-US"/>
        </w:rPr>
        <w:t xml:space="preserve">3. Trích 8% </w:t>
      </w:r>
      <w:r w:rsidRPr="00A0567C">
        <w:rPr>
          <w:sz w:val="28"/>
          <w:szCs w:val="28"/>
          <w:lang w:val="en-US" w:eastAsia="en-US"/>
        </w:rPr>
        <w:t xml:space="preserve">số tiền lãi </w:t>
      </w:r>
      <w:r w:rsidRPr="00A0567C">
        <w:rPr>
          <w:sz w:val="28"/>
          <w:szCs w:val="28"/>
          <w:lang w:eastAsia="en-US"/>
        </w:rPr>
        <w:t xml:space="preserve">thu được để chi cho công tác chỉ đạo, quản lý, tổng hợp, kiểm tra, giám sát, khen thưởng của Ban đại diện Hội đồng quản trị NHCSXH </w:t>
      </w:r>
      <w:r w:rsidRPr="00A0567C">
        <w:rPr>
          <w:sz w:val="28"/>
          <w:szCs w:val="28"/>
          <w:lang w:val="en-US" w:eastAsia="en-US"/>
        </w:rPr>
        <w:t>tỉnh</w:t>
      </w:r>
      <w:r w:rsidRPr="00A0567C">
        <w:rPr>
          <w:sz w:val="28"/>
          <w:szCs w:val="28"/>
          <w:lang w:eastAsia="en-US"/>
        </w:rPr>
        <w:t xml:space="preserve">, các Sở, ngành, đơn vị liên quan đến hoạt động cho vay bằng nguồn vốn NHCSXH nhận ủy thác từ ngân sách địa </w:t>
      </w:r>
      <w:r w:rsidRPr="00A0567C">
        <w:rPr>
          <w:sz w:val="28"/>
          <w:szCs w:val="28"/>
          <w:lang w:val="en-US" w:eastAsia="en-US"/>
        </w:rPr>
        <w:t>phương. Hết năm ngân sách không sử dụng hết thì được chuyển sang năm sau để tiếp tục theo dõi, quản lý và sử dụng. Trường hợp không còn nhu cầu sử dụng thì thực hiện theo khoản 4 Điều này.</w:t>
      </w:r>
    </w:p>
    <w:p w:rsidR="002F55DE" w:rsidRPr="00A0567C" w:rsidRDefault="002F55DE" w:rsidP="002F55DE">
      <w:pPr>
        <w:widowControl w:val="0"/>
        <w:spacing w:before="120"/>
        <w:ind w:firstLine="686"/>
        <w:jc w:val="both"/>
        <w:rPr>
          <w:sz w:val="28"/>
          <w:szCs w:val="28"/>
        </w:rPr>
      </w:pPr>
      <w:r w:rsidRPr="00A0567C">
        <w:rPr>
          <w:bCs/>
          <w:w w:val="99"/>
          <w:sz w:val="28"/>
          <w:szCs w:val="28"/>
        </w:rPr>
        <w:t>4.</w:t>
      </w:r>
      <w:r w:rsidRPr="00A0567C">
        <w:rPr>
          <w:b/>
          <w:bCs/>
          <w:spacing w:val="5"/>
          <w:sz w:val="28"/>
          <w:szCs w:val="28"/>
        </w:rPr>
        <w:t xml:space="preserve"> </w:t>
      </w:r>
      <w:r w:rsidRPr="00A0567C">
        <w:rPr>
          <w:sz w:val="28"/>
          <w:szCs w:val="28"/>
          <w:lang w:eastAsia="en-US"/>
        </w:rPr>
        <w:t>Phần còn lại (nếu có) được bổ sung vào nguồn vốn cho vay.</w:t>
      </w:r>
      <w:r w:rsidRPr="00A0567C">
        <w:rPr>
          <w:sz w:val="28"/>
          <w:szCs w:val="28"/>
        </w:rPr>
        <w:t xml:space="preserve"> </w:t>
      </w:r>
    </w:p>
    <w:p w:rsidR="002F55DE" w:rsidRPr="00A0567C" w:rsidRDefault="002F55DE" w:rsidP="002F55DE">
      <w:pPr>
        <w:widowControl w:val="0"/>
        <w:spacing w:before="120"/>
        <w:ind w:firstLine="686"/>
        <w:jc w:val="both"/>
        <w:rPr>
          <w:spacing w:val="-4"/>
          <w:sz w:val="28"/>
          <w:szCs w:val="28"/>
        </w:rPr>
      </w:pPr>
      <w:r w:rsidRPr="00A0567C">
        <w:rPr>
          <w:bCs/>
          <w:spacing w:val="-4"/>
          <w:w w:val="99"/>
          <w:sz w:val="28"/>
          <w:szCs w:val="28"/>
        </w:rPr>
        <w:t>5.</w:t>
      </w:r>
      <w:r w:rsidRPr="00A0567C">
        <w:rPr>
          <w:spacing w:val="-4"/>
          <w:sz w:val="28"/>
          <w:szCs w:val="28"/>
        </w:rPr>
        <w:t xml:space="preserve"> Q</w:t>
      </w:r>
      <w:r w:rsidRPr="00A0567C">
        <w:rPr>
          <w:spacing w:val="-4"/>
          <w:w w:val="99"/>
          <w:sz w:val="28"/>
          <w:szCs w:val="28"/>
        </w:rPr>
        <w:t>uy</w:t>
      </w:r>
      <w:r w:rsidRPr="00A0567C">
        <w:rPr>
          <w:spacing w:val="-4"/>
          <w:sz w:val="28"/>
          <w:szCs w:val="28"/>
        </w:rPr>
        <w:t>ế</w:t>
      </w:r>
      <w:r w:rsidRPr="00A0567C">
        <w:rPr>
          <w:spacing w:val="-4"/>
          <w:w w:val="99"/>
          <w:sz w:val="28"/>
          <w:szCs w:val="28"/>
        </w:rPr>
        <w:t>t</w:t>
      </w:r>
      <w:r w:rsidRPr="00A0567C">
        <w:rPr>
          <w:spacing w:val="-4"/>
          <w:sz w:val="28"/>
          <w:szCs w:val="28"/>
        </w:rPr>
        <w:t xml:space="preserve"> </w:t>
      </w:r>
      <w:r w:rsidRPr="00A0567C">
        <w:rPr>
          <w:spacing w:val="-4"/>
          <w:w w:val="99"/>
          <w:sz w:val="28"/>
          <w:szCs w:val="28"/>
        </w:rPr>
        <w:t>đ</w:t>
      </w:r>
      <w:r w:rsidRPr="00A0567C">
        <w:rPr>
          <w:spacing w:val="-4"/>
          <w:sz w:val="28"/>
          <w:szCs w:val="28"/>
        </w:rPr>
        <w:t>ị</w:t>
      </w:r>
      <w:r w:rsidRPr="00A0567C">
        <w:rPr>
          <w:spacing w:val="-4"/>
          <w:w w:val="99"/>
          <w:sz w:val="28"/>
          <w:szCs w:val="28"/>
        </w:rPr>
        <w:t>nh</w:t>
      </w:r>
      <w:r w:rsidRPr="00A0567C">
        <w:rPr>
          <w:spacing w:val="-4"/>
          <w:sz w:val="28"/>
          <w:szCs w:val="28"/>
        </w:rPr>
        <w:t xml:space="preserve"> </w:t>
      </w:r>
      <w:r w:rsidRPr="00A0567C">
        <w:rPr>
          <w:spacing w:val="-4"/>
          <w:w w:val="99"/>
          <w:sz w:val="28"/>
          <w:szCs w:val="28"/>
        </w:rPr>
        <w:t>sử</w:t>
      </w:r>
      <w:r w:rsidRPr="00A0567C">
        <w:rPr>
          <w:spacing w:val="-4"/>
          <w:sz w:val="28"/>
          <w:szCs w:val="28"/>
        </w:rPr>
        <w:t xml:space="preserve"> </w:t>
      </w:r>
      <w:r w:rsidRPr="00A0567C">
        <w:rPr>
          <w:spacing w:val="-4"/>
          <w:w w:val="99"/>
          <w:sz w:val="28"/>
          <w:szCs w:val="28"/>
        </w:rPr>
        <w:t>dụng</w:t>
      </w:r>
      <w:r w:rsidRPr="00A0567C">
        <w:rPr>
          <w:spacing w:val="-4"/>
          <w:sz w:val="28"/>
          <w:szCs w:val="28"/>
        </w:rPr>
        <w:t xml:space="preserve"> l</w:t>
      </w:r>
      <w:r w:rsidRPr="00A0567C">
        <w:rPr>
          <w:spacing w:val="-4"/>
          <w:w w:val="99"/>
          <w:sz w:val="28"/>
          <w:szCs w:val="28"/>
        </w:rPr>
        <w:t>ã</w:t>
      </w:r>
      <w:r w:rsidRPr="00A0567C">
        <w:rPr>
          <w:spacing w:val="-4"/>
          <w:sz w:val="28"/>
          <w:szCs w:val="28"/>
        </w:rPr>
        <w:t xml:space="preserve">i </w:t>
      </w:r>
      <w:r w:rsidRPr="00A0567C">
        <w:rPr>
          <w:spacing w:val="-4"/>
          <w:w w:val="99"/>
          <w:sz w:val="28"/>
          <w:szCs w:val="28"/>
        </w:rPr>
        <w:t>vay</w:t>
      </w:r>
      <w:r w:rsidRPr="00A0567C">
        <w:rPr>
          <w:spacing w:val="-4"/>
          <w:w w:val="99"/>
          <w:sz w:val="28"/>
          <w:szCs w:val="28"/>
          <w:lang w:val="en-US"/>
        </w:rPr>
        <w:t xml:space="preserve">: </w:t>
      </w:r>
      <w:r w:rsidRPr="00A0567C">
        <w:rPr>
          <w:spacing w:val="-4"/>
          <w:sz w:val="28"/>
          <w:szCs w:val="28"/>
        </w:rPr>
        <w:t xml:space="preserve">Định kỳ hàng quý, Chi nhánh NHCSXH </w:t>
      </w:r>
      <w:r w:rsidRPr="00A0567C">
        <w:rPr>
          <w:spacing w:val="-4"/>
          <w:sz w:val="28"/>
          <w:szCs w:val="28"/>
          <w:lang w:val="en-US"/>
        </w:rPr>
        <w:t>tỉnh</w:t>
      </w:r>
      <w:r w:rsidRPr="00A0567C">
        <w:rPr>
          <w:spacing w:val="-4"/>
          <w:sz w:val="28"/>
          <w:szCs w:val="28"/>
        </w:rPr>
        <w:t xml:space="preserve"> tổng hợp, hạch toán phân bổ lãi cho vay thu được theo tỷ lệ nêu tại khoản </w:t>
      </w:r>
      <w:r w:rsidRPr="00A0567C">
        <w:rPr>
          <w:spacing w:val="-4"/>
          <w:sz w:val="28"/>
          <w:szCs w:val="28"/>
          <w:lang w:val="en-US"/>
        </w:rPr>
        <w:t>1, khoản 2, khoản 3, khoản 4</w:t>
      </w:r>
      <w:r w:rsidRPr="00A0567C">
        <w:rPr>
          <w:spacing w:val="-4"/>
          <w:sz w:val="28"/>
          <w:szCs w:val="28"/>
        </w:rPr>
        <w:t xml:space="preserve"> Điều này và tổng hợp vào báo cáo theo Điều 12 </w:t>
      </w:r>
      <w:r w:rsidRPr="00A0567C">
        <w:rPr>
          <w:spacing w:val="-4"/>
          <w:sz w:val="28"/>
          <w:szCs w:val="28"/>
          <w:lang w:val="en-US"/>
        </w:rPr>
        <w:t>Quyết định</w:t>
      </w:r>
      <w:r w:rsidRPr="00A0567C">
        <w:rPr>
          <w:spacing w:val="-4"/>
          <w:sz w:val="28"/>
          <w:szCs w:val="28"/>
        </w:rPr>
        <w:t xml:space="preserve"> này.</w:t>
      </w:r>
    </w:p>
    <w:p w:rsidR="002F55DE" w:rsidRPr="00A0567C" w:rsidRDefault="002F55DE" w:rsidP="002F55DE">
      <w:pPr>
        <w:widowControl w:val="0"/>
        <w:spacing w:before="120"/>
        <w:ind w:firstLine="686"/>
        <w:jc w:val="both"/>
        <w:rPr>
          <w:sz w:val="28"/>
          <w:szCs w:val="28"/>
        </w:rPr>
      </w:pPr>
      <w:r w:rsidRPr="00A0567C">
        <w:rPr>
          <w:bCs/>
          <w:w w:val="99"/>
          <w:sz w:val="28"/>
          <w:szCs w:val="28"/>
        </w:rPr>
        <w:t>6.</w:t>
      </w:r>
      <w:r w:rsidRPr="00A0567C">
        <w:rPr>
          <w:spacing w:val="4"/>
          <w:sz w:val="28"/>
          <w:szCs w:val="28"/>
        </w:rPr>
        <w:t xml:space="preserve"> </w:t>
      </w:r>
      <w:r w:rsidRPr="00A0567C">
        <w:rPr>
          <w:sz w:val="28"/>
          <w:szCs w:val="28"/>
        </w:rPr>
        <w:t xml:space="preserve">Đối với phí quản lý nguồn vốn ủy thác: Chi nhánh NHCSXH </w:t>
      </w:r>
      <w:r w:rsidRPr="00A0567C">
        <w:rPr>
          <w:sz w:val="28"/>
          <w:szCs w:val="28"/>
          <w:lang w:val="en-US"/>
        </w:rPr>
        <w:t>tỉnh</w:t>
      </w:r>
      <w:r w:rsidRPr="00A0567C">
        <w:rPr>
          <w:sz w:val="28"/>
          <w:szCs w:val="28"/>
        </w:rPr>
        <w:t xml:space="preserve"> thực hiện các nội dung chi, mức chi, quản lý và quyết toán theo quy định pháp luật hiện hành và của NHCSXH.</w:t>
      </w:r>
    </w:p>
    <w:p w:rsidR="002F55DE" w:rsidRPr="00A0567C" w:rsidRDefault="002F55DE" w:rsidP="002F55DE">
      <w:pPr>
        <w:pStyle w:val="BodyText2"/>
        <w:shd w:val="clear" w:color="auto" w:fill="auto"/>
        <w:spacing w:before="120" w:line="240" w:lineRule="auto"/>
        <w:ind w:firstLine="686"/>
      </w:pPr>
      <w:r w:rsidRPr="00A0567C">
        <w:rPr>
          <w:bCs/>
        </w:rPr>
        <w:lastRenderedPageBreak/>
        <w:t>7.</w:t>
      </w:r>
      <w:r w:rsidRPr="00A0567C">
        <w:rPr>
          <w:lang w:val="vi-VN"/>
        </w:rPr>
        <w:t xml:space="preserve"> Đối với chi cho công tác chỉ đạo, quản lý, tổng hợp, kiểm tra giám sát, khen thưởng liên quan đến hoạt động cho vay bằng nguồn vốn NHCSXH nhận ủy thác.</w:t>
      </w:r>
      <w:r w:rsidRPr="00A0567C">
        <w:t xml:space="preserve"> Nội dung chi, mức chi và việc quyết toán kinh phí cụ thể như sau:</w:t>
      </w:r>
    </w:p>
    <w:p w:rsidR="002F55DE" w:rsidRPr="00A0567C" w:rsidRDefault="002F55DE" w:rsidP="002F55DE">
      <w:pPr>
        <w:pStyle w:val="BodyText2"/>
        <w:shd w:val="clear" w:color="auto" w:fill="auto"/>
        <w:spacing w:before="120" w:line="240" w:lineRule="auto"/>
        <w:ind w:firstLine="686"/>
        <w:rPr>
          <w:lang w:val="vi-VN"/>
        </w:rPr>
      </w:pPr>
      <w:r w:rsidRPr="00A0567C">
        <w:t>7.1.</w:t>
      </w:r>
      <w:r w:rsidRPr="00A0567C">
        <w:rPr>
          <w:lang w:val="vi-VN"/>
        </w:rPr>
        <w:t xml:space="preserve"> Nội dung chi gồm:</w:t>
      </w:r>
    </w:p>
    <w:p w:rsidR="002F55DE" w:rsidRPr="00A0567C" w:rsidRDefault="002F55DE" w:rsidP="002F55DE">
      <w:pPr>
        <w:pStyle w:val="BodyText2"/>
        <w:shd w:val="clear" w:color="auto" w:fill="auto"/>
        <w:spacing w:before="120" w:line="240" w:lineRule="auto"/>
        <w:ind w:firstLine="686"/>
      </w:pPr>
      <w:r w:rsidRPr="00A0567C">
        <w:t>a)</w:t>
      </w:r>
      <w:r w:rsidRPr="00A0567C">
        <w:rPr>
          <w:lang w:val="vi-VN"/>
        </w:rPr>
        <w:t xml:space="preserve"> Chi tổ chức họp, hội nghị, sơ kết, tổng kết hoạt động ủy thác vốn cho vay qua Chi nhánh NHCSXH </w:t>
      </w:r>
      <w:r w:rsidRPr="00A0567C">
        <w:t>tỉnh</w:t>
      </w:r>
      <w:r w:rsidRPr="00A0567C">
        <w:rPr>
          <w:lang w:val="vi-VN"/>
        </w:rPr>
        <w:t>: Nội dung và mức chi theo Nghị quyết số 07/2025/NQ-HĐND ngày 24/10/2025 của Hội đồng nhân dân tỉnh Tuyên Quang về quy định chế độ công tác phí, chi hội nghị; chế độ tiếp khách nước ngoài vào làm việc, tổ chức hội nghị, hội thảo quốc tế và tiếp khách trong nước trên địa bàn tỉnh Tuyên Quang</w:t>
      </w:r>
      <w:r w:rsidRPr="00A0567C">
        <w:t>.</w:t>
      </w:r>
    </w:p>
    <w:p w:rsidR="002F55DE" w:rsidRPr="00A0567C" w:rsidRDefault="002F55DE" w:rsidP="002F55DE">
      <w:pPr>
        <w:pStyle w:val="BodyText2"/>
        <w:shd w:val="clear" w:color="auto" w:fill="auto"/>
        <w:spacing w:before="120" w:line="240" w:lineRule="auto"/>
        <w:ind w:firstLine="686"/>
        <w:rPr>
          <w:lang w:val="vi-VN"/>
        </w:rPr>
      </w:pPr>
      <w:r w:rsidRPr="00A0567C">
        <w:t>b)</w:t>
      </w:r>
      <w:r w:rsidRPr="00A0567C">
        <w:rPr>
          <w:lang w:val="vi-VN"/>
        </w:rPr>
        <w:t xml:space="preserve"> Chi công tác tuyên truyền phổ biến pháp luật và các quy định, hướng dẫn về cho vay đối với người nghèo và các đối tượng chính sách khác (tuyên truyền trên truyền hình, báo in, báo điện tử, xuất bản phẩm, hội nghị, tọa đàm…).</w:t>
      </w:r>
    </w:p>
    <w:p w:rsidR="002F55DE" w:rsidRPr="00A0567C" w:rsidRDefault="002F55DE" w:rsidP="002F55DE">
      <w:pPr>
        <w:pStyle w:val="BodyText2"/>
        <w:shd w:val="clear" w:color="auto" w:fill="auto"/>
        <w:spacing w:before="120" w:line="240" w:lineRule="auto"/>
        <w:ind w:firstLine="686"/>
        <w:rPr>
          <w:spacing w:val="-4"/>
        </w:rPr>
      </w:pPr>
      <w:r w:rsidRPr="00A0567C">
        <w:rPr>
          <w:spacing w:val="-4"/>
        </w:rPr>
        <w:t>c)</w:t>
      </w:r>
      <w:r w:rsidRPr="00A0567C">
        <w:rPr>
          <w:spacing w:val="-4"/>
          <w:lang w:val="vi-VN"/>
        </w:rPr>
        <w:t xml:space="preserve"> Chi tập huấn nghiệp vụ hoạt động ủy thác vốn cho vay qua Chi nhánh NHCSXH </w:t>
      </w:r>
      <w:r w:rsidRPr="00A0567C">
        <w:rPr>
          <w:spacing w:val="-4"/>
        </w:rPr>
        <w:t xml:space="preserve">tỉnh: </w:t>
      </w:r>
      <w:r w:rsidRPr="00A0567C">
        <w:rPr>
          <w:spacing w:val="-4"/>
          <w:lang w:val="vi-VN"/>
        </w:rPr>
        <w:t xml:space="preserve">Nội dung và </w:t>
      </w:r>
      <w:r w:rsidRPr="00A0567C">
        <w:rPr>
          <w:spacing w:val="-4"/>
        </w:rPr>
        <w:t xml:space="preserve">mức chi theo Nghị quyết số 44/2025/NQ-HĐND ngày 29/12/2025 của Hội đồng nhân dân tỉnh Tuyên Quang về việc Quy định mức chi cho công tác đào tạo, bồi dưỡng công chức, viên chức trên địa bàn tỉnh Tuyên Quang. </w:t>
      </w:r>
    </w:p>
    <w:p w:rsidR="002F55DE" w:rsidRPr="00A0567C" w:rsidRDefault="002F55DE" w:rsidP="002F55DE">
      <w:pPr>
        <w:pStyle w:val="NoSpacing"/>
        <w:spacing w:before="120" w:after="120" w:line="340" w:lineRule="exact"/>
        <w:ind w:firstLine="720"/>
        <w:jc w:val="both"/>
        <w:rPr>
          <w:i/>
          <w:spacing w:val="-2"/>
          <w:sz w:val="28"/>
          <w:szCs w:val="28"/>
          <w:shd w:val="clear" w:color="auto" w:fill="FFFFFF"/>
          <w:lang w:val="nb-NO"/>
        </w:rPr>
      </w:pPr>
      <w:r w:rsidRPr="00A0567C">
        <w:rPr>
          <w:spacing w:val="-2"/>
          <w:sz w:val="28"/>
          <w:szCs w:val="28"/>
          <w:shd w:val="clear" w:color="auto" w:fill="FFFFFF"/>
          <w:lang w:val="nb-NO"/>
        </w:rPr>
        <w:t xml:space="preserve">d) Chi khen thưởng bằng tiền cho các tập thể, cá nhân Ban đại diện Hội đồng quản trị NHCSXH tỉnh, các sở, ngành, các tổ chức, cán bộ </w:t>
      </w:r>
      <w:r w:rsidRPr="00A0567C">
        <w:rPr>
          <w:sz w:val="28"/>
          <w:szCs w:val="28"/>
          <w:lang w:val="nb-NO"/>
        </w:rPr>
        <w:t xml:space="preserve">Chi nhánh </w:t>
      </w:r>
      <w:r w:rsidRPr="00A0567C">
        <w:rPr>
          <w:spacing w:val="-2"/>
          <w:sz w:val="28"/>
          <w:szCs w:val="28"/>
          <w:shd w:val="clear" w:color="auto" w:fill="FFFFFF"/>
          <w:lang w:val="nb-NO"/>
        </w:rPr>
        <w:t>NHCSXH</w:t>
      </w:r>
      <w:r w:rsidRPr="00A0567C">
        <w:rPr>
          <w:sz w:val="28"/>
          <w:szCs w:val="28"/>
          <w:lang w:val="nb-NO"/>
        </w:rPr>
        <w:t xml:space="preserve"> tỉnh</w:t>
      </w:r>
      <w:r w:rsidRPr="00A0567C">
        <w:rPr>
          <w:spacing w:val="-2"/>
          <w:sz w:val="28"/>
          <w:szCs w:val="28"/>
          <w:shd w:val="clear" w:color="auto" w:fill="FFFFFF"/>
          <w:lang w:val="nb-NO"/>
        </w:rPr>
        <w:t xml:space="preserve">, các tập thể, cán bộ được phân công trực tiếp quản lý, điều hành nguồn vốn ngân sách ủy thác cho vay có thành tích đóng góp trong hoạt động tín dụng chính sách; chủ dự án, người vay vốn sử dụng hiệu quả vốn vay: Mức chi đối với tập thể là 02 (hai) lần mức lương cơ sở/năm; cá nhân là 01 (một) lần mức lương cơ sở/năm </w:t>
      </w:r>
      <w:r w:rsidRPr="00A0567C">
        <w:rPr>
          <w:i/>
          <w:spacing w:val="-2"/>
          <w:sz w:val="28"/>
          <w:szCs w:val="28"/>
          <w:shd w:val="clear" w:color="auto" w:fill="FFFFFF"/>
          <w:lang w:val="nb-NO"/>
        </w:rPr>
        <w:t>(vận dụng mức tiền thưởng quy định tại điểm c khoản 1 Điều 50 và điểm c khoản 2 Điều 50 Nghị định số 152/2025/NĐ-CP ngày 14/6/2025 của Chính phủ Quy định về phân cấp, phân quyền trong lĩnh vực thi đua, khen thưởng; quy định chi tiết và hướng dẫn thi hành một số điều của </w:t>
      </w:r>
      <w:hyperlink r:id="rId11" w:tgtFrame="_blank" w:history="1">
        <w:r w:rsidRPr="00A0567C">
          <w:rPr>
            <w:i/>
            <w:spacing w:val="-2"/>
            <w:sz w:val="28"/>
            <w:szCs w:val="28"/>
            <w:shd w:val="clear" w:color="auto" w:fill="FFFFFF"/>
            <w:lang w:val="nb-NO"/>
          </w:rPr>
          <w:t>Luật Thi đua, khen thưởng</w:t>
        </w:r>
      </w:hyperlink>
      <w:r w:rsidRPr="00A0567C">
        <w:rPr>
          <w:i/>
          <w:spacing w:val="-2"/>
          <w:sz w:val="28"/>
          <w:szCs w:val="28"/>
          <w:shd w:val="clear" w:color="auto" w:fill="FFFFFF"/>
          <w:lang w:val="nb-NO"/>
        </w:rPr>
        <w:t>).</w:t>
      </w:r>
    </w:p>
    <w:p w:rsidR="002F55DE" w:rsidRPr="00A0567C" w:rsidRDefault="002F55DE" w:rsidP="002F55DE">
      <w:pPr>
        <w:pStyle w:val="NoSpacing"/>
        <w:spacing w:before="120" w:after="120" w:line="340" w:lineRule="exact"/>
        <w:ind w:firstLine="720"/>
        <w:jc w:val="both"/>
        <w:rPr>
          <w:spacing w:val="-2"/>
          <w:sz w:val="28"/>
          <w:szCs w:val="28"/>
          <w:shd w:val="clear" w:color="auto" w:fill="FFFFFF"/>
          <w:lang w:val="nb-NO"/>
        </w:rPr>
      </w:pPr>
      <w:r w:rsidRPr="00A0567C">
        <w:rPr>
          <w:spacing w:val="-2"/>
          <w:sz w:val="28"/>
          <w:szCs w:val="28"/>
          <w:shd w:val="clear" w:color="auto" w:fill="FFFFFF"/>
          <w:lang w:val="nb-NO"/>
        </w:rPr>
        <w:t xml:space="preserve"> Giám đốc Chi nhánh NHCSXH tỉnh tham mưu Chủ tịch Ủy ban nhân dân tỉnh ban hành Quyết định thưởng bằng tiền. Chi nhánh NHCSXH tỉnh thực hiện chi khen thưởng từ quỹ khen thưởng của nguồn vốn ủy thác địa phương.</w:t>
      </w:r>
    </w:p>
    <w:p w:rsidR="002F55DE" w:rsidRPr="00A0567C" w:rsidRDefault="002F55DE" w:rsidP="002F55DE">
      <w:pPr>
        <w:pStyle w:val="NoSpacing"/>
        <w:spacing w:before="120" w:after="120" w:line="340" w:lineRule="exact"/>
        <w:ind w:firstLine="720"/>
        <w:jc w:val="both"/>
        <w:rPr>
          <w:spacing w:val="-2"/>
          <w:sz w:val="28"/>
          <w:szCs w:val="28"/>
          <w:shd w:val="clear" w:color="auto" w:fill="FFFFFF"/>
          <w:lang w:val="nb-NO"/>
        </w:rPr>
      </w:pPr>
      <w:r w:rsidRPr="00A0567C">
        <w:rPr>
          <w:spacing w:val="-2"/>
          <w:sz w:val="28"/>
          <w:szCs w:val="28"/>
          <w:shd w:val="clear" w:color="auto" w:fill="FFFFFF"/>
          <w:lang w:val="nb-NO"/>
        </w:rPr>
        <w:t>đ) Chi kiểm tra, giám sát của Ban đại diện Hội đồng quản trị và các hoạt động ủy thác cho vay qua Chi nhánh NHCSXH tỉnh: Nội dung và mức chi theo Nghị quyết số 07/2025/NQ-HĐND ngày 24/10/2025 của Hội đồng nhân dân tỉnh Tuyên Quang về quy định chế độ công tác phí, chi hội nghị; chế độ tiếp khách nước ngoài vào làm việc, tổ chức hội nghị, hội thảo quốc tế và tiếp khách trong nước trên địa bàn tỉnh Tuyên Quang.</w:t>
      </w:r>
    </w:p>
    <w:p w:rsidR="002F55DE" w:rsidRPr="00A0567C" w:rsidRDefault="002F55DE" w:rsidP="002F55DE">
      <w:pPr>
        <w:pStyle w:val="NoSpacing"/>
        <w:spacing w:before="120" w:after="120" w:line="340" w:lineRule="exact"/>
        <w:ind w:firstLine="720"/>
        <w:jc w:val="both"/>
        <w:rPr>
          <w:sz w:val="28"/>
          <w:szCs w:val="28"/>
          <w:shd w:val="clear" w:color="auto" w:fill="FFFFFF"/>
          <w:lang w:val="nb-NO"/>
        </w:rPr>
      </w:pPr>
      <w:r w:rsidRPr="00A0567C">
        <w:rPr>
          <w:sz w:val="28"/>
          <w:szCs w:val="28"/>
          <w:shd w:val="clear" w:color="auto" w:fill="FFFFFF"/>
          <w:lang w:val="nb-NO"/>
        </w:rPr>
        <w:t xml:space="preserve">e) Hàng </w:t>
      </w:r>
      <w:r w:rsidRPr="00A0567C">
        <w:rPr>
          <w:spacing w:val="-2"/>
          <w:sz w:val="28"/>
          <w:szCs w:val="28"/>
          <w:shd w:val="clear" w:color="auto" w:fill="FFFFFF"/>
          <w:lang w:val="nb-NO"/>
        </w:rPr>
        <w:t>năm căn cứ tình hình triển khai nhiệm vụ, Chi</w:t>
      </w:r>
      <w:r w:rsidRPr="00A0567C">
        <w:rPr>
          <w:sz w:val="28"/>
          <w:szCs w:val="28"/>
          <w:shd w:val="clear" w:color="auto" w:fill="FFFFFF"/>
          <w:lang w:val="nb-NO"/>
        </w:rPr>
        <w:t xml:space="preserve"> nhánh NHCSXH tỉnh lập dự toán việc sử dụng kinh phí được để lại cho công tác chỉ đạo, quản lý, tổng hợp, kiểm tra, giám sát và khen thưởng gửi Sở Tài chính thẩm định trình Chủ tịch Ủy ban nhân dân tỉnh để xem xét, quyết định.</w:t>
      </w:r>
    </w:p>
    <w:p w:rsidR="002F55DE" w:rsidRPr="00A0567C" w:rsidRDefault="002F55DE" w:rsidP="002F55DE">
      <w:pPr>
        <w:pStyle w:val="NoSpacing"/>
        <w:spacing w:before="120" w:after="120" w:line="340" w:lineRule="exact"/>
        <w:ind w:firstLine="720"/>
        <w:jc w:val="both"/>
        <w:rPr>
          <w:spacing w:val="-2"/>
          <w:sz w:val="28"/>
          <w:szCs w:val="28"/>
          <w:shd w:val="clear" w:color="auto" w:fill="FFFFFF"/>
          <w:lang w:val="nb-NO"/>
        </w:rPr>
      </w:pPr>
      <w:r w:rsidRPr="00A0567C">
        <w:rPr>
          <w:spacing w:val="-2"/>
          <w:sz w:val="28"/>
          <w:szCs w:val="28"/>
          <w:shd w:val="clear" w:color="auto" w:fill="FFFFFF"/>
          <w:lang w:val="nb-NO"/>
        </w:rPr>
        <w:lastRenderedPageBreak/>
        <w:t>7.2. Quyết toán:</w:t>
      </w:r>
    </w:p>
    <w:p w:rsidR="002F55DE" w:rsidRPr="00A0567C" w:rsidRDefault="002F55DE" w:rsidP="002F55DE">
      <w:pPr>
        <w:pStyle w:val="NoSpacing"/>
        <w:spacing w:before="120" w:after="120" w:line="340" w:lineRule="exact"/>
        <w:ind w:firstLine="720"/>
        <w:jc w:val="both"/>
        <w:rPr>
          <w:sz w:val="28"/>
          <w:szCs w:val="28"/>
          <w:shd w:val="clear" w:color="auto" w:fill="FFFFFF"/>
          <w:lang w:val="nb-NO"/>
        </w:rPr>
      </w:pPr>
      <w:r w:rsidRPr="00A0567C">
        <w:rPr>
          <w:sz w:val="28"/>
          <w:szCs w:val="28"/>
          <w:shd w:val="clear" w:color="auto" w:fill="FFFFFF"/>
          <w:lang w:val="nb-NO"/>
        </w:rPr>
        <w:t>a) Đối với nguồn kinh phí được trích của Ban đại diện Hội đồng quản trị NHCSXH tỉnh: Căn cứ kinh phí được trích trong năm, Giám đốc chi nhánh NHCSXH tỉnh có trách nhiệm lập dự toán các nội dung chi trình Trưởng Ban đại diện Hội đồng quản trị NHCSXH tỉnh phê duyệt làm cơ sở thực hiện và quyết toán phần kinh phí của Ban đại diện Hội đồng quản trị NHCSXH tỉnh theo quy định, đúng chế độ kế toán, tài chính hiện hành. Kết thúc năm ngân sách, Chi nhánh NHCSXH tỉnh báo cáo, tổng hợp quyết toán số kinh phí đã sử dụng trong năm.</w:t>
      </w:r>
    </w:p>
    <w:p w:rsidR="002F55DE" w:rsidRPr="00A0567C" w:rsidRDefault="002F55DE" w:rsidP="002F55DE">
      <w:pPr>
        <w:pStyle w:val="NoSpacing"/>
        <w:spacing w:before="120" w:after="120" w:line="340" w:lineRule="exact"/>
        <w:ind w:firstLine="720"/>
        <w:jc w:val="both"/>
        <w:rPr>
          <w:spacing w:val="-2"/>
          <w:sz w:val="28"/>
          <w:szCs w:val="28"/>
          <w:shd w:val="clear" w:color="auto" w:fill="FFFFFF"/>
          <w:lang w:val="nb-NO"/>
        </w:rPr>
      </w:pPr>
      <w:r w:rsidRPr="00A0567C">
        <w:rPr>
          <w:spacing w:val="-2"/>
          <w:sz w:val="28"/>
          <w:szCs w:val="28"/>
          <w:shd w:val="clear" w:color="auto" w:fill="FFFFFF"/>
          <w:lang w:val="nb-NO"/>
        </w:rPr>
        <w:t>b) Đối với kinh phí cho các Sở, ngành, đơn vị: Các đơn vị quyết toán số kinh phí đã chi vào tổng quyết toán của đơn vị theo quy định của Luật Ngân sách Nhà nước, đồng thời tổng hợp số liệu báo cáo về Ban đại diện NHCSXH tỉnh (thông qua Chi nhánh NHCSXH tỉnh) trước ngày 28/02 năm sau. Chi nhánh NHCSXH tỉnh tổng hợp số chi của các sở, ngành, đơn vị liên quan và số chi của Ban đại diện Hội đồng quản trị NHCSXH tỉnh báo cáo Ban đại diện Hội đồng quản trị vào kỳ họp gần nhất.</w:t>
      </w:r>
    </w:p>
    <w:p w:rsidR="002F55DE" w:rsidRPr="00A0567C" w:rsidRDefault="002F55DE" w:rsidP="002F55DE">
      <w:pPr>
        <w:spacing w:before="120"/>
        <w:ind w:firstLine="686"/>
        <w:jc w:val="both"/>
        <w:outlineLvl w:val="0"/>
        <w:rPr>
          <w:b/>
          <w:sz w:val="28"/>
          <w:szCs w:val="28"/>
          <w:lang w:val="nl-NL"/>
        </w:rPr>
      </w:pPr>
      <w:r w:rsidRPr="00A0567C">
        <w:rPr>
          <w:b/>
          <w:sz w:val="28"/>
          <w:szCs w:val="28"/>
          <w:lang w:val="nl-NL"/>
        </w:rPr>
        <w:t>Điều 11. Xử lý nợ bị rủi ro</w:t>
      </w:r>
    </w:p>
    <w:p w:rsidR="002F55DE" w:rsidRPr="00A0567C" w:rsidRDefault="002F55DE" w:rsidP="002F55DE">
      <w:pPr>
        <w:pStyle w:val="NoSpacing"/>
        <w:spacing w:before="120" w:after="120" w:line="340" w:lineRule="exact"/>
        <w:ind w:firstLine="720"/>
        <w:jc w:val="both"/>
        <w:rPr>
          <w:spacing w:val="-2"/>
          <w:sz w:val="28"/>
          <w:szCs w:val="28"/>
          <w:shd w:val="clear" w:color="auto" w:fill="FFFFFF"/>
          <w:lang w:val="nb-NO"/>
        </w:rPr>
      </w:pPr>
      <w:r w:rsidRPr="00A0567C">
        <w:rPr>
          <w:spacing w:val="-2"/>
          <w:sz w:val="28"/>
          <w:szCs w:val="28"/>
          <w:shd w:val="clear" w:color="auto" w:fill="FFFFFF"/>
          <w:lang w:val="nb-NO"/>
        </w:rPr>
        <w:t>Thực hiện theo quy định tại khoản 8, Điều 5 Thông tư số 11/2017/TT-BTC ngày 8/02/2017 của Bộ Tài chính được sửa đổi bổ sung tại khoản 5 Điều 1 Thông tư số 84/2025/TT-BTC.</w:t>
      </w:r>
    </w:p>
    <w:p w:rsidR="002F55DE" w:rsidRPr="00A0567C" w:rsidRDefault="002F55DE" w:rsidP="002F55DE">
      <w:pPr>
        <w:pStyle w:val="Bodytext30"/>
        <w:shd w:val="clear" w:color="auto" w:fill="auto"/>
        <w:spacing w:before="120" w:line="240" w:lineRule="auto"/>
        <w:ind w:firstLine="686"/>
        <w:jc w:val="both"/>
        <w:rPr>
          <w:lang w:val="nl-NL"/>
        </w:rPr>
      </w:pPr>
      <w:r w:rsidRPr="00A0567C">
        <w:rPr>
          <w:lang w:val="nl-NL"/>
        </w:rPr>
        <w:t>Điều 12. Chế độ báo cáo</w:t>
      </w:r>
    </w:p>
    <w:p w:rsidR="002F55DE" w:rsidRPr="00A0567C" w:rsidRDefault="002F55DE" w:rsidP="002F55DE">
      <w:pPr>
        <w:pStyle w:val="NoSpacing"/>
        <w:spacing w:before="120" w:after="120" w:line="340" w:lineRule="exact"/>
        <w:ind w:firstLine="720"/>
        <w:jc w:val="both"/>
        <w:rPr>
          <w:spacing w:val="-2"/>
          <w:sz w:val="28"/>
          <w:szCs w:val="28"/>
          <w:shd w:val="clear" w:color="auto" w:fill="FFFFFF"/>
          <w:lang w:val="nb-NO"/>
        </w:rPr>
      </w:pPr>
      <w:r w:rsidRPr="00A0567C">
        <w:rPr>
          <w:spacing w:val="-2"/>
          <w:sz w:val="28"/>
          <w:szCs w:val="28"/>
          <w:shd w:val="clear" w:color="auto" w:fill="FFFFFF"/>
          <w:lang w:val="nb-NO"/>
        </w:rPr>
        <w:t>Định kỳ 6 tháng, hằng năm hoặc theo yêu cầu đột xuất, Chi nhánh NHCSXH tỉnh báo cáo tổng nguồn vốn, kết quả cho vay từ nguồn vốn ủy thác gửi Ủy ban nhân dân tỉnh, Sở Nội vụ, Sở Tài chính theo quy định.</w:t>
      </w:r>
    </w:p>
    <w:p w:rsidR="002F55DE" w:rsidRPr="00A0567C" w:rsidRDefault="002F55DE" w:rsidP="002F55DE">
      <w:pPr>
        <w:pStyle w:val="Bodytext30"/>
        <w:shd w:val="clear" w:color="auto" w:fill="auto"/>
        <w:spacing w:before="120" w:line="240" w:lineRule="auto"/>
        <w:ind w:firstLine="686"/>
        <w:jc w:val="both"/>
        <w:rPr>
          <w:lang w:val="nl-NL"/>
        </w:rPr>
      </w:pPr>
      <w:r w:rsidRPr="00A0567C">
        <w:rPr>
          <w:lang w:val="nl-NL"/>
        </w:rPr>
        <w:t>Điều 13. Hạch toán, theo dõi cho vay, chế độ báo cáo quyết toán</w:t>
      </w:r>
    </w:p>
    <w:p w:rsidR="002F55DE" w:rsidRPr="00A0567C" w:rsidRDefault="002F55DE" w:rsidP="002F55DE">
      <w:pPr>
        <w:pStyle w:val="BodyText2"/>
        <w:shd w:val="clear" w:color="auto" w:fill="auto"/>
        <w:spacing w:before="120" w:line="240" w:lineRule="auto"/>
        <w:ind w:right="20" w:firstLine="686"/>
        <w:rPr>
          <w:spacing w:val="-4"/>
          <w:lang w:val="nl-NL"/>
        </w:rPr>
      </w:pPr>
      <w:r w:rsidRPr="00A0567C">
        <w:rPr>
          <w:spacing w:val="-4"/>
          <w:lang w:val="nl-NL"/>
        </w:rPr>
        <w:t>Việc ghi chép, hạch toán kế toán đối với nguồn vốn ủy thác và dư nợ cho vay được theo dõi, hạch toán theo các văn bản hướng dẫn của Tổng Giám đốc NHCSXH.</w:t>
      </w:r>
    </w:p>
    <w:p w:rsidR="002F55DE" w:rsidRPr="00A0567C" w:rsidRDefault="002F55DE" w:rsidP="002F55DE">
      <w:pPr>
        <w:pStyle w:val="Bodytext30"/>
        <w:shd w:val="clear" w:color="auto" w:fill="auto"/>
        <w:spacing w:before="120" w:line="240" w:lineRule="auto"/>
        <w:ind w:right="720"/>
        <w:rPr>
          <w:sz w:val="12"/>
          <w:lang w:val="nl-NL"/>
        </w:rPr>
      </w:pPr>
    </w:p>
    <w:p w:rsidR="002F55DE" w:rsidRPr="00A0567C" w:rsidRDefault="002F55DE" w:rsidP="002F55DE">
      <w:pPr>
        <w:pStyle w:val="Bodytext30"/>
        <w:shd w:val="clear" w:color="auto" w:fill="auto"/>
        <w:spacing w:before="120" w:line="240" w:lineRule="auto"/>
        <w:ind w:right="720"/>
        <w:rPr>
          <w:lang w:val="nl-NL"/>
        </w:rPr>
      </w:pPr>
      <w:r w:rsidRPr="00A0567C">
        <w:rPr>
          <w:lang w:val="nl-NL"/>
        </w:rPr>
        <w:t>Chương III</w:t>
      </w:r>
    </w:p>
    <w:p w:rsidR="002F55DE" w:rsidRPr="00A0567C" w:rsidRDefault="002F55DE" w:rsidP="002F55DE">
      <w:pPr>
        <w:pStyle w:val="Bodytext30"/>
        <w:shd w:val="clear" w:color="auto" w:fill="auto"/>
        <w:spacing w:before="120" w:line="240" w:lineRule="auto"/>
        <w:ind w:left="2160" w:right="720"/>
        <w:jc w:val="left"/>
        <w:rPr>
          <w:lang w:val="nl-NL"/>
        </w:rPr>
      </w:pPr>
      <w:r w:rsidRPr="00A0567C">
        <w:rPr>
          <w:lang w:val="nl-NL"/>
        </w:rPr>
        <w:t xml:space="preserve">      TỔ CHỨC THỰC HIỆN</w:t>
      </w:r>
    </w:p>
    <w:p w:rsidR="002F55DE" w:rsidRPr="00A0567C" w:rsidRDefault="002F55DE" w:rsidP="002F55DE">
      <w:pPr>
        <w:pStyle w:val="Bodytext30"/>
        <w:shd w:val="clear" w:color="auto" w:fill="auto"/>
        <w:spacing w:before="120" w:line="240" w:lineRule="auto"/>
        <w:ind w:firstLine="686"/>
        <w:jc w:val="left"/>
        <w:rPr>
          <w:sz w:val="25"/>
          <w:szCs w:val="25"/>
          <w:lang w:val="vi-VN"/>
        </w:rPr>
      </w:pPr>
      <w:r w:rsidRPr="00A0567C">
        <w:rPr>
          <w:lang w:val="nl-NL"/>
        </w:rPr>
        <w:t>Điều 14. Trách nhiệm của các cơ quan, đơn vị, địa phương</w:t>
      </w:r>
    </w:p>
    <w:p w:rsidR="002F55DE" w:rsidRPr="00A0567C" w:rsidRDefault="002F55DE" w:rsidP="002F55DE">
      <w:pPr>
        <w:spacing w:before="120"/>
        <w:ind w:firstLine="686"/>
        <w:jc w:val="both"/>
        <w:rPr>
          <w:sz w:val="28"/>
          <w:szCs w:val="28"/>
        </w:rPr>
      </w:pPr>
      <w:r w:rsidRPr="00A0567C">
        <w:rPr>
          <w:sz w:val="28"/>
          <w:szCs w:val="28"/>
        </w:rPr>
        <w:t xml:space="preserve">1. Các cơ quan, đơn vị quản lý đối tượng vay vốn </w:t>
      </w:r>
    </w:p>
    <w:p w:rsidR="002F55DE" w:rsidRPr="00A0567C" w:rsidRDefault="002F55DE" w:rsidP="002F55DE">
      <w:pPr>
        <w:tabs>
          <w:tab w:val="left" w:pos="720"/>
          <w:tab w:val="center" w:pos="4677"/>
        </w:tabs>
        <w:spacing w:before="120"/>
        <w:ind w:firstLine="686"/>
        <w:jc w:val="both"/>
        <w:rPr>
          <w:bCs/>
          <w:sz w:val="28"/>
          <w:szCs w:val="28"/>
        </w:rPr>
      </w:pPr>
      <w:r w:rsidRPr="00A0567C">
        <w:rPr>
          <w:sz w:val="28"/>
          <w:szCs w:val="28"/>
          <w:lang w:val="en-US"/>
        </w:rPr>
        <w:t>a</w:t>
      </w:r>
      <w:r w:rsidRPr="00A0567C">
        <w:rPr>
          <w:sz w:val="28"/>
          <w:szCs w:val="28"/>
        </w:rPr>
        <w:t xml:space="preserve">) </w:t>
      </w:r>
      <w:r w:rsidRPr="00A0567C">
        <w:rPr>
          <w:bCs/>
          <w:sz w:val="28"/>
          <w:szCs w:val="28"/>
        </w:rPr>
        <w:t>Phối hợp</w:t>
      </w:r>
      <w:r w:rsidRPr="00A0567C">
        <w:rPr>
          <w:bCs/>
          <w:sz w:val="28"/>
          <w:szCs w:val="28"/>
          <w:lang w:val="en-US"/>
        </w:rPr>
        <w:t xml:space="preserve"> với</w:t>
      </w:r>
      <w:r w:rsidRPr="00A0567C">
        <w:rPr>
          <w:bCs/>
          <w:sz w:val="28"/>
          <w:szCs w:val="28"/>
        </w:rPr>
        <w:t xml:space="preserve"> Chi nhánh NHCSXH </w:t>
      </w:r>
      <w:r w:rsidRPr="00A0567C">
        <w:rPr>
          <w:bCs/>
          <w:sz w:val="28"/>
          <w:szCs w:val="28"/>
          <w:lang w:val="en-US"/>
        </w:rPr>
        <w:t>tỉnh chỉ đạo</w:t>
      </w:r>
      <w:r w:rsidRPr="00A0567C">
        <w:rPr>
          <w:bCs/>
          <w:sz w:val="28"/>
          <w:szCs w:val="28"/>
        </w:rPr>
        <w:t xml:space="preserve"> triển khai các chính sách tín dụng từ nguồn ngân sách </w:t>
      </w:r>
      <w:r w:rsidRPr="00A0567C">
        <w:rPr>
          <w:bCs/>
          <w:sz w:val="28"/>
          <w:szCs w:val="28"/>
          <w:lang w:val="en-US"/>
        </w:rPr>
        <w:t>tỉnh</w:t>
      </w:r>
      <w:r w:rsidRPr="00A0567C">
        <w:rPr>
          <w:bCs/>
          <w:sz w:val="28"/>
          <w:szCs w:val="28"/>
        </w:rPr>
        <w:t xml:space="preserve"> trên địa bàn; phối hợp xử lý, thu hồi nợ đối với các đối tượng vay vốn thuộc phạm vi quản lý.</w:t>
      </w:r>
    </w:p>
    <w:p w:rsidR="002F55DE" w:rsidRPr="00A0567C" w:rsidRDefault="002F55DE" w:rsidP="002F55DE">
      <w:pPr>
        <w:pStyle w:val="BodyText2"/>
        <w:shd w:val="clear" w:color="auto" w:fill="auto"/>
        <w:tabs>
          <w:tab w:val="left" w:pos="865"/>
        </w:tabs>
        <w:spacing w:before="120" w:line="240" w:lineRule="auto"/>
        <w:ind w:right="20" w:firstLine="686"/>
        <w:rPr>
          <w:lang w:val="vi-VN"/>
        </w:rPr>
      </w:pPr>
      <w:r w:rsidRPr="00A0567C">
        <w:t>b</w:t>
      </w:r>
      <w:r w:rsidRPr="00A0567C">
        <w:rPr>
          <w:lang w:val="vi-VN"/>
        </w:rPr>
        <w:t>) Kiểm tra, giám sát, đánh giá hiệu quả thực hiện các chương trình cho vay theo lĩnh vực được phân công quản lý.</w:t>
      </w:r>
    </w:p>
    <w:p w:rsidR="002F55DE" w:rsidRPr="00A0567C" w:rsidRDefault="002F55DE" w:rsidP="002F55DE">
      <w:pPr>
        <w:pStyle w:val="BodyText2"/>
        <w:shd w:val="clear" w:color="auto" w:fill="auto"/>
        <w:tabs>
          <w:tab w:val="left" w:pos="905"/>
        </w:tabs>
        <w:spacing w:before="120" w:line="240" w:lineRule="auto"/>
        <w:ind w:firstLine="686"/>
        <w:rPr>
          <w:lang w:val="vi-VN"/>
        </w:rPr>
      </w:pPr>
      <w:r w:rsidRPr="00A0567C">
        <w:rPr>
          <w:lang w:val="vi-VN"/>
        </w:rPr>
        <w:t>2. Sở Tài chính</w:t>
      </w:r>
    </w:p>
    <w:p w:rsidR="002F55DE" w:rsidRPr="00A0567C" w:rsidRDefault="002F55DE" w:rsidP="002F55DE">
      <w:pPr>
        <w:spacing w:before="120"/>
        <w:ind w:firstLine="686"/>
        <w:jc w:val="both"/>
        <w:rPr>
          <w:sz w:val="28"/>
          <w:szCs w:val="28"/>
          <w:lang w:eastAsia="en-US"/>
        </w:rPr>
      </w:pPr>
      <w:r w:rsidRPr="00A0567C">
        <w:rPr>
          <w:sz w:val="28"/>
          <w:szCs w:val="28"/>
        </w:rPr>
        <w:lastRenderedPageBreak/>
        <w:t xml:space="preserve">a) Chủ trì, phối hợp với các Sở, ngành liên quan và Chi nhánh NHCSXH </w:t>
      </w:r>
      <w:r w:rsidRPr="00A0567C">
        <w:rPr>
          <w:sz w:val="28"/>
          <w:szCs w:val="28"/>
          <w:lang w:val="en-US"/>
        </w:rPr>
        <w:t>tỉnh</w:t>
      </w:r>
      <w:r w:rsidRPr="00A0567C">
        <w:rPr>
          <w:sz w:val="28"/>
          <w:szCs w:val="28"/>
        </w:rPr>
        <w:t xml:space="preserve"> tham mưu </w:t>
      </w:r>
      <w:r w:rsidRPr="00A0567C">
        <w:rPr>
          <w:sz w:val="28"/>
          <w:szCs w:val="28"/>
          <w:lang w:val="en-US"/>
        </w:rPr>
        <w:t>UBND tỉnh</w:t>
      </w:r>
      <w:r w:rsidRPr="00A0567C">
        <w:rPr>
          <w:sz w:val="28"/>
          <w:szCs w:val="28"/>
        </w:rPr>
        <w:t xml:space="preserve"> báo cáo, trình Hội đồng nhân dân </w:t>
      </w:r>
      <w:r w:rsidRPr="00A0567C">
        <w:rPr>
          <w:sz w:val="28"/>
          <w:szCs w:val="28"/>
          <w:lang w:val="en-US"/>
        </w:rPr>
        <w:t>tỉnh</w:t>
      </w:r>
      <w:r w:rsidRPr="00A0567C">
        <w:rPr>
          <w:sz w:val="28"/>
          <w:szCs w:val="28"/>
        </w:rPr>
        <w:t xml:space="preserve"> quyết định bố trí vốn ngân sách </w:t>
      </w:r>
      <w:r w:rsidRPr="00A0567C">
        <w:rPr>
          <w:sz w:val="28"/>
          <w:szCs w:val="28"/>
          <w:lang w:val="en-US"/>
        </w:rPr>
        <w:t>tỉnh</w:t>
      </w:r>
      <w:r w:rsidRPr="00A0567C">
        <w:rPr>
          <w:sz w:val="28"/>
          <w:szCs w:val="28"/>
        </w:rPr>
        <w:t xml:space="preserve"> để ủy thác thực hiện chính sách tín dụng ưu đãi thông qua Chi nhánh NHCSXH </w:t>
      </w:r>
      <w:r w:rsidRPr="00A0567C">
        <w:rPr>
          <w:sz w:val="28"/>
          <w:szCs w:val="28"/>
          <w:lang w:val="en-US"/>
        </w:rPr>
        <w:t>tỉnh</w:t>
      </w:r>
      <w:r w:rsidRPr="00A0567C">
        <w:rPr>
          <w:sz w:val="28"/>
          <w:szCs w:val="28"/>
        </w:rPr>
        <w:t>.</w:t>
      </w:r>
    </w:p>
    <w:p w:rsidR="002F55DE" w:rsidRPr="00A0567C" w:rsidRDefault="002F55DE" w:rsidP="002F55DE">
      <w:pPr>
        <w:tabs>
          <w:tab w:val="left" w:pos="720"/>
          <w:tab w:val="center" w:pos="4677"/>
        </w:tabs>
        <w:spacing w:before="120"/>
        <w:ind w:firstLine="686"/>
        <w:jc w:val="both"/>
        <w:rPr>
          <w:bCs/>
          <w:sz w:val="28"/>
          <w:szCs w:val="28"/>
        </w:rPr>
      </w:pPr>
      <w:r w:rsidRPr="00A0567C">
        <w:rPr>
          <w:sz w:val="28"/>
          <w:szCs w:val="28"/>
        </w:rPr>
        <w:t xml:space="preserve">b) Phối hợp với các Sở, ngành liên quan tham mưu </w:t>
      </w:r>
      <w:r w:rsidRPr="00A0567C">
        <w:rPr>
          <w:sz w:val="28"/>
          <w:szCs w:val="28"/>
          <w:lang w:val="en-US"/>
        </w:rPr>
        <w:t>UBND tỉnh</w:t>
      </w:r>
      <w:r w:rsidRPr="00A0567C">
        <w:rPr>
          <w:sz w:val="28"/>
          <w:szCs w:val="28"/>
        </w:rPr>
        <w:t xml:space="preserve"> báo cáo, trình Hội đồng nhân dân </w:t>
      </w:r>
      <w:r w:rsidRPr="00A0567C">
        <w:rPr>
          <w:sz w:val="28"/>
          <w:szCs w:val="28"/>
          <w:lang w:val="en-US"/>
        </w:rPr>
        <w:t>tỉnh</w:t>
      </w:r>
      <w:r w:rsidRPr="00A0567C">
        <w:rPr>
          <w:sz w:val="28"/>
          <w:szCs w:val="28"/>
        </w:rPr>
        <w:t xml:space="preserve"> bố trí vốn ngân sách </w:t>
      </w:r>
      <w:r w:rsidRPr="00A0567C">
        <w:rPr>
          <w:sz w:val="28"/>
          <w:szCs w:val="28"/>
          <w:lang w:val="en-US"/>
        </w:rPr>
        <w:t>tỉnh</w:t>
      </w:r>
      <w:r w:rsidRPr="00A0567C">
        <w:rPr>
          <w:sz w:val="28"/>
          <w:szCs w:val="28"/>
        </w:rPr>
        <w:t xml:space="preserve"> trong dự toán ngân sách, kế hoạch đầu tư công trung hạn và hằng năm để uỷ thác thực hiện chính sách tín dụng ưu đãi thông qua Chi nhánh NHCSXH </w:t>
      </w:r>
      <w:r w:rsidRPr="00A0567C">
        <w:rPr>
          <w:sz w:val="28"/>
          <w:szCs w:val="28"/>
          <w:lang w:val="en-US"/>
        </w:rPr>
        <w:t>tỉnh</w:t>
      </w:r>
      <w:r w:rsidRPr="00A0567C">
        <w:rPr>
          <w:sz w:val="28"/>
          <w:szCs w:val="28"/>
        </w:rPr>
        <w:t xml:space="preserve">; </w:t>
      </w:r>
      <w:r w:rsidRPr="00A0567C">
        <w:rPr>
          <w:bCs/>
          <w:sz w:val="28"/>
          <w:szCs w:val="28"/>
        </w:rPr>
        <w:t xml:space="preserve">Chủ trì phối hợp với các </w:t>
      </w:r>
      <w:r w:rsidRPr="00A0567C">
        <w:rPr>
          <w:sz w:val="28"/>
          <w:szCs w:val="28"/>
        </w:rPr>
        <w:t xml:space="preserve">Sở, ngành </w:t>
      </w:r>
      <w:r w:rsidRPr="00A0567C">
        <w:rPr>
          <w:bCs/>
          <w:sz w:val="28"/>
          <w:szCs w:val="28"/>
        </w:rPr>
        <w:t xml:space="preserve">liên quan xem xét, tổng hợp dự toán kinh phí cấp bù chi phí quản lý nguồn vốn ủy thác cho </w:t>
      </w:r>
      <w:r w:rsidRPr="00A0567C">
        <w:rPr>
          <w:sz w:val="28"/>
          <w:szCs w:val="28"/>
        </w:rPr>
        <w:t xml:space="preserve">Chi nhánh NHCSXH </w:t>
      </w:r>
      <w:r w:rsidRPr="00A0567C">
        <w:rPr>
          <w:sz w:val="28"/>
          <w:szCs w:val="28"/>
          <w:lang w:val="en-US"/>
        </w:rPr>
        <w:t>tỉnh</w:t>
      </w:r>
      <w:r w:rsidRPr="00A0567C">
        <w:rPr>
          <w:bCs/>
          <w:sz w:val="28"/>
          <w:szCs w:val="28"/>
        </w:rPr>
        <w:t xml:space="preserve"> (nếu có) báo cáo </w:t>
      </w:r>
      <w:r w:rsidRPr="00A0567C">
        <w:rPr>
          <w:bCs/>
          <w:sz w:val="28"/>
          <w:szCs w:val="28"/>
          <w:lang w:val="en-US"/>
        </w:rPr>
        <w:t xml:space="preserve">UBND </w:t>
      </w:r>
      <w:r w:rsidRPr="00A0567C">
        <w:rPr>
          <w:sz w:val="28"/>
          <w:szCs w:val="28"/>
          <w:lang w:val="en-US"/>
        </w:rPr>
        <w:t>tỉnh</w:t>
      </w:r>
      <w:r w:rsidRPr="00A0567C">
        <w:rPr>
          <w:bCs/>
          <w:sz w:val="28"/>
          <w:szCs w:val="28"/>
        </w:rPr>
        <w:t>.</w:t>
      </w:r>
    </w:p>
    <w:p w:rsidR="002F55DE" w:rsidRPr="00A0567C" w:rsidRDefault="002F55DE" w:rsidP="002F55DE">
      <w:pPr>
        <w:spacing w:before="120"/>
        <w:ind w:firstLine="686"/>
        <w:jc w:val="both"/>
        <w:rPr>
          <w:sz w:val="28"/>
          <w:szCs w:val="28"/>
        </w:rPr>
      </w:pPr>
      <w:r w:rsidRPr="00A0567C">
        <w:rPr>
          <w:sz w:val="28"/>
          <w:szCs w:val="28"/>
        </w:rPr>
        <w:t xml:space="preserve">c) Phối hợp với các đơn vị liên quan tham mưu </w:t>
      </w:r>
      <w:r w:rsidRPr="00A0567C">
        <w:rPr>
          <w:sz w:val="28"/>
          <w:szCs w:val="28"/>
          <w:lang w:val="en-US"/>
        </w:rPr>
        <w:t>UBND</w:t>
      </w:r>
      <w:r w:rsidRPr="00A0567C">
        <w:rPr>
          <w:sz w:val="28"/>
          <w:szCs w:val="28"/>
        </w:rPr>
        <w:t xml:space="preserve"> </w:t>
      </w:r>
      <w:r w:rsidRPr="00A0567C">
        <w:rPr>
          <w:sz w:val="28"/>
          <w:szCs w:val="28"/>
          <w:lang w:val="en-US"/>
        </w:rPr>
        <w:t>tỉnh</w:t>
      </w:r>
      <w:r w:rsidRPr="00A0567C">
        <w:rPr>
          <w:sz w:val="28"/>
          <w:szCs w:val="28"/>
        </w:rPr>
        <w:t xml:space="preserve"> kiểm tra việc phân phối, sử dụng lãi cho vay thu được theo Điều 10 </w:t>
      </w:r>
      <w:r w:rsidRPr="00A0567C">
        <w:rPr>
          <w:sz w:val="28"/>
          <w:szCs w:val="28"/>
          <w:lang w:val="en-US"/>
        </w:rPr>
        <w:t>Quyết định</w:t>
      </w:r>
      <w:r w:rsidRPr="00A0567C">
        <w:rPr>
          <w:sz w:val="28"/>
          <w:szCs w:val="28"/>
        </w:rPr>
        <w:t xml:space="preserve"> này.</w:t>
      </w:r>
    </w:p>
    <w:p w:rsidR="002F55DE" w:rsidRPr="00A0567C" w:rsidRDefault="002F55DE" w:rsidP="002F55DE">
      <w:pPr>
        <w:pStyle w:val="BodyText2"/>
        <w:shd w:val="clear" w:color="auto" w:fill="auto"/>
        <w:tabs>
          <w:tab w:val="left" w:pos="865"/>
        </w:tabs>
        <w:spacing w:before="120" w:line="240" w:lineRule="auto"/>
        <w:ind w:firstLine="709"/>
        <w:rPr>
          <w:lang w:val="vi-VN"/>
        </w:rPr>
      </w:pPr>
      <w:r w:rsidRPr="00A0567C">
        <w:t>3</w:t>
      </w:r>
      <w:r w:rsidRPr="00A0567C">
        <w:rPr>
          <w:lang w:val="vi-VN"/>
        </w:rPr>
        <w:t xml:space="preserve">. Chi nhánh NHCSXH </w:t>
      </w:r>
      <w:r w:rsidRPr="00A0567C">
        <w:t>tỉnh</w:t>
      </w:r>
    </w:p>
    <w:p w:rsidR="002F55DE" w:rsidRPr="00A0567C" w:rsidRDefault="002F55DE" w:rsidP="002F55DE">
      <w:pPr>
        <w:pStyle w:val="BodyText2"/>
        <w:shd w:val="clear" w:color="auto" w:fill="auto"/>
        <w:spacing w:before="120" w:line="240" w:lineRule="auto"/>
        <w:ind w:right="20" w:firstLine="686"/>
        <w:rPr>
          <w:lang w:val="vi-VN"/>
        </w:rPr>
      </w:pPr>
      <w:r w:rsidRPr="00A0567C">
        <w:rPr>
          <w:lang w:val="vi-VN"/>
        </w:rPr>
        <w:t xml:space="preserve">a) Tiếp nhận, quản lý và sử dụng vốn ngân sách thành phố ủy thác theo đúng quy định của pháp luật và các quy định tại </w:t>
      </w:r>
      <w:r w:rsidRPr="00A0567C">
        <w:t xml:space="preserve">Quyết định </w:t>
      </w:r>
      <w:r w:rsidRPr="00A0567C">
        <w:rPr>
          <w:lang w:val="vi-VN"/>
        </w:rPr>
        <w:t>này.</w:t>
      </w:r>
    </w:p>
    <w:p w:rsidR="002F55DE" w:rsidRPr="00A0567C" w:rsidRDefault="002F55DE" w:rsidP="002F55DE">
      <w:pPr>
        <w:pStyle w:val="BodyText2"/>
        <w:shd w:val="clear" w:color="auto" w:fill="auto"/>
        <w:tabs>
          <w:tab w:val="left" w:pos="865"/>
        </w:tabs>
        <w:spacing w:before="120" w:line="240" w:lineRule="auto"/>
        <w:ind w:firstLine="709"/>
        <w:rPr>
          <w:lang w:val="vi-VN"/>
        </w:rPr>
      </w:pPr>
      <w:r w:rsidRPr="00A0567C">
        <w:rPr>
          <w:lang w:val="vi-VN"/>
        </w:rPr>
        <w:t xml:space="preserve">b) Tham mưu Trưởng Ban đại diện Hội đồng quản trị NHCSXH </w:t>
      </w:r>
      <w:r w:rsidRPr="00A0567C">
        <w:t xml:space="preserve">tỉnh </w:t>
      </w:r>
      <w:r w:rsidRPr="00A0567C">
        <w:rPr>
          <w:lang w:val="vi-VN"/>
        </w:rPr>
        <w:t>phân bổ kế hoạch tín dụng được giao từ nguồn ngân sách thành phố ủy thác.</w:t>
      </w:r>
    </w:p>
    <w:p w:rsidR="002F55DE" w:rsidRPr="00A0567C" w:rsidRDefault="002F55DE" w:rsidP="002F55DE">
      <w:pPr>
        <w:pStyle w:val="BodyText2"/>
        <w:shd w:val="clear" w:color="auto" w:fill="auto"/>
        <w:tabs>
          <w:tab w:val="left" w:pos="865"/>
        </w:tabs>
        <w:spacing w:before="120" w:line="240" w:lineRule="auto"/>
        <w:ind w:firstLine="709"/>
        <w:rPr>
          <w:lang w:val="vi-VN"/>
        </w:rPr>
      </w:pPr>
      <w:r w:rsidRPr="00A0567C">
        <w:rPr>
          <w:lang w:val="vi-VN"/>
        </w:rPr>
        <w:t xml:space="preserve">c) Phối hợp với cơ quan quản lý đối tượng vay vốn xây dựng kế hoạch nguồn vốn ủy thác từ ngân sách để cho vay người nghèo và các đối tượng chính sách khác hằng năm, giai đoạn gửi Sở Tài chính trình Ủy ban nhân dân </w:t>
      </w:r>
      <w:r w:rsidRPr="00A0567C">
        <w:t>tỉnh</w:t>
      </w:r>
      <w:r w:rsidRPr="00A0567C">
        <w:rPr>
          <w:lang w:val="vi-VN"/>
        </w:rPr>
        <w:t xml:space="preserve">; Thông báo </w:t>
      </w:r>
      <w:r w:rsidRPr="00A0567C">
        <w:rPr>
          <w:bCs/>
          <w:lang w:val="vi-VN"/>
        </w:rPr>
        <w:t>điều chỉnh nguồn vốn cho vay giữa địa bàn các xã, phường, đặc khu và giữa các chương trình cho vay theo quy định.</w:t>
      </w:r>
    </w:p>
    <w:p w:rsidR="002F55DE" w:rsidRPr="00A0567C" w:rsidRDefault="002F55DE" w:rsidP="002F55DE">
      <w:pPr>
        <w:pStyle w:val="BodyText2"/>
        <w:shd w:val="clear" w:color="auto" w:fill="auto"/>
        <w:spacing w:before="120" w:line="240" w:lineRule="auto"/>
        <w:ind w:right="20" w:firstLine="686"/>
        <w:rPr>
          <w:lang w:val="vi-VN"/>
        </w:rPr>
      </w:pPr>
      <w:r w:rsidRPr="00A0567C">
        <w:rPr>
          <w:lang w:val="vi-VN"/>
        </w:rPr>
        <w:t>d) Hướng dẫn nghiệp vụ; thực hiện quy trình thủ tục cho vay; kiểm tra, giám sát việc thực hiện các chương trình tín dụng chính sách theo quy định.</w:t>
      </w:r>
    </w:p>
    <w:p w:rsidR="002F55DE" w:rsidRPr="00A0567C" w:rsidRDefault="002F55DE" w:rsidP="002F55DE">
      <w:pPr>
        <w:pStyle w:val="BodyText2"/>
        <w:shd w:val="clear" w:color="auto" w:fill="auto"/>
        <w:tabs>
          <w:tab w:val="left" w:pos="865"/>
        </w:tabs>
        <w:spacing w:before="120" w:line="240" w:lineRule="auto"/>
        <w:ind w:firstLine="709"/>
        <w:rPr>
          <w:lang w:val="vi-VN"/>
        </w:rPr>
      </w:pPr>
      <w:r w:rsidRPr="00A0567C">
        <w:rPr>
          <w:lang w:val="vi-VN"/>
        </w:rPr>
        <w:t xml:space="preserve">đ) Lập hồ sơ xử lý nợ bị rủi ro, báo cáo </w:t>
      </w:r>
      <w:r w:rsidRPr="00A0567C">
        <w:t>UBND</w:t>
      </w:r>
      <w:r w:rsidRPr="00A0567C">
        <w:rPr>
          <w:lang w:val="vi-VN"/>
        </w:rPr>
        <w:t xml:space="preserve"> </w:t>
      </w:r>
      <w:r w:rsidRPr="00A0567C">
        <w:t xml:space="preserve">tỉnh </w:t>
      </w:r>
      <w:r w:rsidRPr="00A0567C">
        <w:rPr>
          <w:lang w:val="vi-VN"/>
        </w:rPr>
        <w:t>xem xét, quyết định.</w:t>
      </w:r>
    </w:p>
    <w:p w:rsidR="002F55DE" w:rsidRPr="00A0567C" w:rsidRDefault="002F55DE" w:rsidP="002F55DE">
      <w:pPr>
        <w:pStyle w:val="BodyText2"/>
        <w:shd w:val="clear" w:color="auto" w:fill="auto"/>
        <w:tabs>
          <w:tab w:val="left" w:pos="865"/>
        </w:tabs>
        <w:spacing w:before="120" w:line="240" w:lineRule="auto"/>
        <w:ind w:firstLine="709"/>
        <w:rPr>
          <w:lang w:val="vi-VN"/>
        </w:rPr>
      </w:pPr>
      <w:r w:rsidRPr="00A0567C">
        <w:rPr>
          <w:lang w:val="vi-VN"/>
        </w:rPr>
        <w:t xml:space="preserve">e) </w:t>
      </w:r>
      <w:r w:rsidRPr="00A0567C">
        <w:rPr>
          <w:bCs/>
          <w:iCs/>
          <w:lang w:val="nl-NL"/>
        </w:rPr>
        <w:t xml:space="preserve">Định kỳ 6 tháng, hằng năm hoặc theo yêu cầu đột xuất, báo cáo tổng nguồn vốn, kết quả cho vay từ nguồn vốn uỷ thác gửi Ủy ban nhân dân </w:t>
      </w:r>
      <w:r w:rsidRPr="00A0567C">
        <w:t>tỉnh</w:t>
      </w:r>
      <w:r w:rsidRPr="00A0567C">
        <w:rPr>
          <w:bCs/>
          <w:iCs/>
          <w:lang w:val="nl-NL"/>
        </w:rPr>
        <w:t>, Sở Tài chính; t</w:t>
      </w:r>
      <w:r w:rsidRPr="00A0567C">
        <w:rPr>
          <w:lang w:val="vi-VN"/>
        </w:rPr>
        <w:t>ham mưu Ủy ban nhân dân các cấp tổ chức tổng kết đánh giá kết quả thực hiện cho vay các chương trình tín dụng.</w:t>
      </w:r>
    </w:p>
    <w:p w:rsidR="002F55DE" w:rsidRPr="00A0567C" w:rsidRDefault="002F55DE" w:rsidP="002F55DE">
      <w:pPr>
        <w:pStyle w:val="BodyText2"/>
        <w:shd w:val="clear" w:color="auto" w:fill="auto"/>
        <w:tabs>
          <w:tab w:val="left" w:pos="865"/>
        </w:tabs>
        <w:spacing w:before="120" w:line="240" w:lineRule="auto"/>
        <w:ind w:firstLine="709"/>
        <w:rPr>
          <w:lang w:val="vi-VN"/>
        </w:rPr>
      </w:pPr>
      <w:r w:rsidRPr="00A0567C">
        <w:rPr>
          <w:lang w:val="vi-VN"/>
        </w:rPr>
        <w:t>4. Sở Nội vụ</w:t>
      </w:r>
    </w:p>
    <w:p w:rsidR="002F55DE" w:rsidRPr="00A0567C" w:rsidRDefault="002F55DE" w:rsidP="002F55DE">
      <w:pPr>
        <w:pStyle w:val="BodyText2"/>
        <w:shd w:val="clear" w:color="auto" w:fill="auto"/>
        <w:tabs>
          <w:tab w:val="left" w:pos="865"/>
        </w:tabs>
        <w:spacing w:before="120" w:line="240" w:lineRule="auto"/>
        <w:ind w:firstLine="709"/>
        <w:rPr>
          <w:spacing w:val="-4"/>
          <w:lang w:val="vi-VN"/>
        </w:rPr>
      </w:pPr>
      <w:r w:rsidRPr="00A0567C">
        <w:rPr>
          <w:spacing w:val="-4"/>
          <w:lang w:val="vi-VN"/>
        </w:rPr>
        <w:t>a) Ký Hợp đồng ủy thác với Chi nhánh NHCSXH tỉnh đảm bảo theo quy định</w:t>
      </w:r>
      <w:r w:rsidRPr="00A0567C">
        <w:rPr>
          <w:spacing w:val="-4"/>
        </w:rPr>
        <w:t xml:space="preserve"> tại Điều 4 Quyết định này</w:t>
      </w:r>
      <w:r w:rsidRPr="00A0567C">
        <w:rPr>
          <w:spacing w:val="-4"/>
          <w:lang w:val="vi-VN"/>
        </w:rPr>
        <w:t>.</w:t>
      </w:r>
    </w:p>
    <w:p w:rsidR="002F55DE" w:rsidRPr="00A0567C" w:rsidRDefault="002F55DE" w:rsidP="002F55DE">
      <w:pPr>
        <w:pStyle w:val="BodyText2"/>
        <w:shd w:val="clear" w:color="auto" w:fill="auto"/>
        <w:tabs>
          <w:tab w:val="left" w:pos="865"/>
        </w:tabs>
        <w:spacing w:before="120" w:line="240" w:lineRule="auto"/>
        <w:ind w:firstLine="709"/>
        <w:rPr>
          <w:lang w:val="vi-VN"/>
        </w:rPr>
      </w:pPr>
      <w:r w:rsidRPr="00A0567C">
        <w:rPr>
          <w:lang w:val="vi-VN"/>
        </w:rPr>
        <w:t>b) Tổ chức việc rà soát, xác định hộ nghèo, hộ cận nghèo hằng năm và các đối tượng chính sách khác theo chỉ đạo và hướng dẫn của cấp trên làm cơ sở để thực hiện cho vay đúng đối tượng.</w:t>
      </w:r>
    </w:p>
    <w:p w:rsidR="002F55DE" w:rsidRPr="00A0567C" w:rsidRDefault="002F55DE" w:rsidP="002F55DE">
      <w:pPr>
        <w:pStyle w:val="BodyText2"/>
        <w:shd w:val="clear" w:color="auto" w:fill="auto"/>
        <w:tabs>
          <w:tab w:val="left" w:pos="871"/>
        </w:tabs>
        <w:spacing w:before="120" w:line="240" w:lineRule="auto"/>
        <w:ind w:firstLine="709"/>
        <w:rPr>
          <w:lang w:val="vi-VN"/>
        </w:rPr>
      </w:pPr>
      <w:r w:rsidRPr="00A0567C">
        <w:t>5</w:t>
      </w:r>
      <w:r w:rsidRPr="00A0567C">
        <w:rPr>
          <w:lang w:val="vi-VN"/>
        </w:rPr>
        <w:t xml:space="preserve">. Ủy ban nhân dân xã, phường </w:t>
      </w:r>
    </w:p>
    <w:p w:rsidR="002F55DE" w:rsidRPr="00A0567C" w:rsidRDefault="002F55DE" w:rsidP="002F55DE">
      <w:pPr>
        <w:pStyle w:val="BodyText2"/>
        <w:shd w:val="clear" w:color="auto" w:fill="auto"/>
        <w:spacing w:before="120" w:line="240" w:lineRule="auto"/>
        <w:ind w:right="20"/>
        <w:rPr>
          <w:lang w:val="vi-VN"/>
        </w:rPr>
      </w:pPr>
      <w:r w:rsidRPr="00A0567C">
        <w:rPr>
          <w:lang w:val="vi-VN"/>
        </w:rPr>
        <w:tab/>
        <w:t xml:space="preserve">a) Chịu trách nhiệm xác nhận đối tượng vay vốn, rà soát nhu cầu vay vốn, phân bổ nguồn vốn theo từng chương trình cho vay theo </w:t>
      </w:r>
      <w:r w:rsidRPr="00A0567C">
        <w:rPr>
          <w:spacing w:val="-4"/>
        </w:rPr>
        <w:t xml:space="preserve">Quyết định </w:t>
      </w:r>
      <w:r w:rsidRPr="00A0567C">
        <w:rPr>
          <w:lang w:val="vi-VN"/>
        </w:rPr>
        <w:t>này.</w:t>
      </w:r>
    </w:p>
    <w:p w:rsidR="002F55DE" w:rsidRPr="00A0567C" w:rsidRDefault="002F55DE" w:rsidP="002F55DE">
      <w:pPr>
        <w:pStyle w:val="BodyText2"/>
        <w:shd w:val="clear" w:color="auto" w:fill="auto"/>
        <w:tabs>
          <w:tab w:val="left" w:pos="709"/>
        </w:tabs>
        <w:spacing w:before="120" w:line="240" w:lineRule="auto"/>
        <w:ind w:right="20"/>
        <w:rPr>
          <w:lang w:val="vi-VN"/>
        </w:rPr>
      </w:pPr>
      <w:r w:rsidRPr="00A0567C">
        <w:rPr>
          <w:lang w:val="vi-VN"/>
        </w:rPr>
        <w:tab/>
        <w:t>b) Phối hợp với NHCSXH các cấp, t</w:t>
      </w:r>
      <w:r w:rsidRPr="00A0567C">
        <w:t>ổ</w:t>
      </w:r>
      <w:r w:rsidRPr="00A0567C">
        <w:rPr>
          <w:lang w:val="vi-VN"/>
        </w:rPr>
        <w:t xml:space="preserve"> chức chính trị - xã hội, các cơ quan, </w:t>
      </w:r>
      <w:r w:rsidRPr="00A0567C">
        <w:rPr>
          <w:lang w:val="vi-VN"/>
        </w:rPr>
        <w:lastRenderedPageBreak/>
        <w:t>đơn vị có liên quan kiểm tra việc sử dụng vốn vay, đôn đốc thu hồi nợ; hướng dẫn khách hàng lập hồ sơ đề nghị xử lý nợ rủi ro do nguyên nhân khách quan, có ý kiến về đề nghị xử lý rủi ro của khách hàng.</w:t>
      </w:r>
    </w:p>
    <w:p w:rsidR="002F55DE" w:rsidRPr="00A0567C" w:rsidRDefault="002F55DE" w:rsidP="002F55DE">
      <w:pPr>
        <w:pStyle w:val="BodyText2"/>
        <w:shd w:val="clear" w:color="auto" w:fill="auto"/>
        <w:tabs>
          <w:tab w:val="left" w:pos="709"/>
        </w:tabs>
        <w:spacing w:before="120" w:line="240" w:lineRule="auto"/>
        <w:ind w:right="20"/>
        <w:rPr>
          <w:lang w:val="vi-VN"/>
        </w:rPr>
      </w:pPr>
      <w:r w:rsidRPr="00A0567C">
        <w:rPr>
          <w:lang w:val="vi-VN"/>
        </w:rPr>
        <w:tab/>
      </w:r>
      <w:r w:rsidRPr="00A0567C">
        <w:t>6</w:t>
      </w:r>
      <w:r w:rsidRPr="00A0567C">
        <w:rPr>
          <w:lang w:val="vi-VN"/>
        </w:rPr>
        <w:t xml:space="preserve">. </w:t>
      </w:r>
      <w:r w:rsidRPr="00A0567C">
        <w:t>C</w:t>
      </w:r>
      <w:r w:rsidRPr="00A0567C">
        <w:rPr>
          <w:lang w:val="vi-VN"/>
        </w:rPr>
        <w:t>ác tổ chức chính trị- xã hội nhận ủy thác</w:t>
      </w:r>
    </w:p>
    <w:p w:rsidR="002F55DE" w:rsidRPr="00A0567C" w:rsidRDefault="002F55DE" w:rsidP="002F55DE">
      <w:pPr>
        <w:pStyle w:val="BodyText2"/>
        <w:shd w:val="clear" w:color="auto" w:fill="auto"/>
        <w:tabs>
          <w:tab w:val="left" w:pos="709"/>
        </w:tabs>
        <w:spacing w:before="120" w:line="240" w:lineRule="auto"/>
        <w:ind w:right="20"/>
        <w:rPr>
          <w:lang w:val="vi-VN"/>
        </w:rPr>
      </w:pPr>
      <w:r w:rsidRPr="00A0567C">
        <w:rPr>
          <w:lang w:val="vi-VN"/>
        </w:rPr>
        <w:tab/>
        <w:t>a) Tuyên truyền, vận động và hướng dẫn thành lập Tổ Tiết kiệm vay vốn để thực hiện ủy thác cho vay.</w:t>
      </w:r>
    </w:p>
    <w:p w:rsidR="002F55DE" w:rsidRPr="00A0567C" w:rsidRDefault="002F55DE" w:rsidP="002F55DE">
      <w:pPr>
        <w:pStyle w:val="BodyText2"/>
        <w:shd w:val="clear" w:color="auto" w:fill="auto"/>
        <w:tabs>
          <w:tab w:val="left" w:pos="865"/>
        </w:tabs>
        <w:spacing w:before="120" w:line="240" w:lineRule="auto"/>
        <w:ind w:firstLine="709"/>
        <w:rPr>
          <w:lang w:val="vi-VN"/>
        </w:rPr>
      </w:pPr>
      <w:r w:rsidRPr="00A0567C">
        <w:rPr>
          <w:lang w:val="vi-VN"/>
        </w:rPr>
        <w:t xml:space="preserve">b) Tổ chức kiểm tra, giám sát, quản lý hoạt động tín dụng theo văn bản liên tịch và hợp đồng ủy thác đã ký với Chi nhánh NHCSXH </w:t>
      </w:r>
      <w:r w:rsidRPr="00A0567C">
        <w:t>tỉnh</w:t>
      </w:r>
      <w:r w:rsidRPr="00A0567C">
        <w:rPr>
          <w:lang w:val="vi-VN"/>
        </w:rPr>
        <w:t>.</w:t>
      </w:r>
    </w:p>
    <w:p w:rsidR="002F55DE" w:rsidRPr="00A0567C" w:rsidRDefault="002F55DE" w:rsidP="002F55DE">
      <w:pPr>
        <w:pStyle w:val="BodyTextIndent2"/>
        <w:spacing w:before="120" w:after="0" w:line="240" w:lineRule="auto"/>
        <w:ind w:left="0" w:firstLine="686"/>
        <w:jc w:val="both"/>
        <w:rPr>
          <w:sz w:val="28"/>
          <w:szCs w:val="28"/>
          <w:lang w:val="vi-VN"/>
        </w:rPr>
      </w:pPr>
      <w:r w:rsidRPr="00A0567C">
        <w:rPr>
          <w:sz w:val="28"/>
          <w:szCs w:val="28"/>
        </w:rPr>
        <w:t>7</w:t>
      </w:r>
      <w:r w:rsidRPr="00A0567C">
        <w:rPr>
          <w:sz w:val="28"/>
          <w:szCs w:val="28"/>
          <w:lang w:val="vi-VN"/>
        </w:rPr>
        <w:t>. Trách nhiệm của khách hàng vay vốn</w:t>
      </w:r>
    </w:p>
    <w:p w:rsidR="002F55DE" w:rsidRPr="00A0567C" w:rsidRDefault="002F55DE" w:rsidP="002F55DE">
      <w:pPr>
        <w:pStyle w:val="BodyTextIndent2"/>
        <w:spacing w:before="120" w:after="0" w:line="240" w:lineRule="auto"/>
        <w:ind w:left="0" w:firstLine="686"/>
        <w:jc w:val="both"/>
        <w:rPr>
          <w:sz w:val="28"/>
          <w:szCs w:val="28"/>
          <w:lang w:val="vi-VN"/>
        </w:rPr>
      </w:pPr>
      <w:r w:rsidRPr="00A0567C">
        <w:rPr>
          <w:sz w:val="28"/>
          <w:szCs w:val="28"/>
          <w:lang w:val="vi-VN"/>
        </w:rPr>
        <w:t>a) Kê khai hồ sơ đầy đủ, trung thực, chính xác.</w:t>
      </w:r>
    </w:p>
    <w:p w:rsidR="002F55DE" w:rsidRPr="00A0567C" w:rsidRDefault="002F55DE" w:rsidP="002F55DE">
      <w:pPr>
        <w:pStyle w:val="BodyTextIndent2"/>
        <w:spacing w:before="120" w:after="0" w:line="240" w:lineRule="auto"/>
        <w:ind w:left="0" w:firstLine="686"/>
        <w:jc w:val="both"/>
        <w:rPr>
          <w:sz w:val="28"/>
          <w:szCs w:val="28"/>
          <w:lang w:val="vi-VN"/>
        </w:rPr>
      </w:pPr>
      <w:r w:rsidRPr="00A0567C">
        <w:rPr>
          <w:sz w:val="28"/>
          <w:szCs w:val="28"/>
          <w:lang w:val="vi-VN"/>
        </w:rPr>
        <w:t>b) Sử dụng vốn vay đúng mục đích.</w:t>
      </w:r>
    </w:p>
    <w:p w:rsidR="002F55DE" w:rsidRPr="00A0567C" w:rsidRDefault="002F55DE" w:rsidP="002F55DE">
      <w:pPr>
        <w:pStyle w:val="BodyTextIndent2"/>
        <w:spacing w:before="120" w:after="0" w:line="240" w:lineRule="auto"/>
        <w:ind w:left="0" w:firstLine="686"/>
        <w:jc w:val="both"/>
        <w:rPr>
          <w:sz w:val="28"/>
          <w:szCs w:val="28"/>
          <w:lang w:val="vi-VN"/>
        </w:rPr>
      </w:pPr>
      <w:r w:rsidRPr="00A0567C">
        <w:rPr>
          <w:sz w:val="28"/>
          <w:szCs w:val="28"/>
          <w:lang w:val="vi-VN"/>
        </w:rPr>
        <w:t>c) Hoàn trả tiền gốc, tiền lãi đúng quy định.</w:t>
      </w:r>
    </w:p>
    <w:p w:rsidR="002F55DE" w:rsidRPr="00A0567C" w:rsidRDefault="002F55DE" w:rsidP="002F55DE">
      <w:pPr>
        <w:pStyle w:val="BodyTextIndent2"/>
        <w:spacing w:before="120" w:after="0" w:line="240" w:lineRule="auto"/>
        <w:ind w:left="0" w:firstLine="686"/>
        <w:jc w:val="both"/>
        <w:rPr>
          <w:b/>
          <w:sz w:val="28"/>
          <w:szCs w:val="28"/>
          <w:lang w:val="vi-VN"/>
        </w:rPr>
      </w:pPr>
      <w:r w:rsidRPr="00A0567C">
        <w:rPr>
          <w:b/>
          <w:sz w:val="28"/>
          <w:szCs w:val="28"/>
          <w:lang w:val="vi-VN"/>
        </w:rPr>
        <w:t>Điều 1</w:t>
      </w:r>
      <w:r w:rsidRPr="00A0567C">
        <w:rPr>
          <w:b/>
          <w:sz w:val="28"/>
          <w:szCs w:val="28"/>
        </w:rPr>
        <w:t>5</w:t>
      </w:r>
      <w:r w:rsidRPr="00A0567C">
        <w:rPr>
          <w:b/>
          <w:sz w:val="28"/>
          <w:szCs w:val="28"/>
          <w:lang w:val="vi-VN"/>
        </w:rPr>
        <w:t>. Xử lý vi phạm</w:t>
      </w:r>
    </w:p>
    <w:p w:rsidR="002F55DE" w:rsidRPr="00A0567C" w:rsidRDefault="002F55DE" w:rsidP="002F55DE">
      <w:pPr>
        <w:pStyle w:val="BodyTextIndent2"/>
        <w:spacing w:before="120" w:after="0" w:line="240" w:lineRule="auto"/>
        <w:ind w:left="0" w:firstLine="686"/>
        <w:jc w:val="both"/>
        <w:rPr>
          <w:sz w:val="28"/>
          <w:szCs w:val="28"/>
          <w:lang w:val="vi-VN"/>
        </w:rPr>
      </w:pPr>
      <w:r w:rsidRPr="00A0567C">
        <w:rPr>
          <w:sz w:val="28"/>
          <w:szCs w:val="28"/>
          <w:lang w:val="vi-VN"/>
        </w:rPr>
        <w:t xml:space="preserve">Những tổ chức, cá nhân có hành vi vi phạm </w:t>
      </w:r>
      <w:r w:rsidRPr="00A0567C">
        <w:rPr>
          <w:sz w:val="28"/>
          <w:szCs w:val="28"/>
        </w:rPr>
        <w:t>Quyết định</w:t>
      </w:r>
      <w:r w:rsidRPr="00A0567C">
        <w:rPr>
          <w:sz w:val="28"/>
          <w:szCs w:val="28"/>
          <w:lang w:val="vi-VN"/>
        </w:rPr>
        <w:t xml:space="preserve"> này, tùy theo tính chất và mức độ vi phạm sẽ bị xử lý theo quy định của pháp luật.</w:t>
      </w:r>
    </w:p>
    <w:p w:rsidR="002F55DE" w:rsidRPr="00A0567C" w:rsidRDefault="002F55DE" w:rsidP="002F55DE">
      <w:pPr>
        <w:pStyle w:val="BodyText2"/>
        <w:shd w:val="clear" w:color="auto" w:fill="auto"/>
        <w:spacing w:before="140" w:line="240" w:lineRule="auto"/>
        <w:ind w:right="40" w:firstLine="709"/>
        <w:rPr>
          <w:b/>
          <w:lang w:val="nl-NL"/>
        </w:rPr>
      </w:pPr>
      <w:r w:rsidRPr="00A0567C">
        <w:rPr>
          <w:b/>
          <w:lang w:val="nl-NL"/>
        </w:rPr>
        <w:t>Điều 16. Quy định chuyển tiếp</w:t>
      </w:r>
    </w:p>
    <w:p w:rsidR="002F55DE" w:rsidRPr="00A0567C" w:rsidRDefault="002F55DE" w:rsidP="002F55DE">
      <w:pPr>
        <w:pStyle w:val="BodyText2"/>
        <w:shd w:val="clear" w:color="auto" w:fill="auto"/>
        <w:spacing w:before="140" w:line="240" w:lineRule="auto"/>
        <w:ind w:right="40" w:firstLine="709"/>
        <w:rPr>
          <w:lang w:val="nl-NL"/>
        </w:rPr>
      </w:pPr>
      <w:r w:rsidRPr="00A0567C">
        <w:rPr>
          <w:lang w:val="nl-NL"/>
        </w:rPr>
        <w:t xml:space="preserve">1. Đối với Quỹ dự phòng rủi ro tín dụng, nguồn vốn cho vay được tạo lập theo </w:t>
      </w:r>
      <w:r w:rsidRPr="00A0567C">
        <w:rPr>
          <w:spacing w:val="-4"/>
          <w:lang w:val="nl-NL"/>
        </w:rPr>
        <w:t xml:space="preserve">Quyết định số 10/2017/QĐ-UBND ngày 27/7/2017 của Ủy ban nhân dân tỉnh Tuyên Quang </w:t>
      </w:r>
      <w:r w:rsidRPr="00A0567C">
        <w:rPr>
          <w:lang w:val="nl-NL"/>
        </w:rPr>
        <w:t>và Quyết định số 2189/QĐ-UBND ngày 07/7/2017 của Ủy ban nhân dân tỉnh Hà Giang, tiếp tục giao Chi nhánh Ngân hàng Chính sách xã hội tỉnh Tuyên Quang theo dõi, quản lý, tổ chức thực hiện để xử lý nợ rủi ro và cho vay theo quy định.</w:t>
      </w:r>
    </w:p>
    <w:p w:rsidR="002F55DE" w:rsidRPr="00A0567C" w:rsidRDefault="002F55DE" w:rsidP="002F55DE">
      <w:pPr>
        <w:pStyle w:val="BodyText2"/>
        <w:shd w:val="clear" w:color="auto" w:fill="auto"/>
        <w:spacing w:before="140" w:line="240" w:lineRule="auto"/>
        <w:ind w:right="40" w:firstLine="709"/>
        <w:rPr>
          <w:lang w:val="nl-NL"/>
        </w:rPr>
      </w:pPr>
      <w:r w:rsidRPr="00A0567C">
        <w:rPr>
          <w:lang w:val="nl-NL"/>
        </w:rPr>
        <w:t xml:space="preserve">2. Đối với nguồn kinh phí được trích chi cho công tác chỉ đạo, quản lý, tổng hợp, kiểm tra, giám sát, khen thưởng của Ban đại diện Hội đồng quản trị Ngân hàng Chính sách xã hội các cấp, các sở, ngành, đơn vị có liên quan đến hoạt động cho vay bằng nguồn vốn Ngân hàng Chính sách xã hội nhận ủy thác từ ngân sách địa phương được tạo lập theo khoản 3 Điều này và tạo lập theo </w:t>
      </w:r>
      <w:r w:rsidRPr="00A0567C">
        <w:rPr>
          <w:spacing w:val="-4"/>
          <w:lang w:val="nl-NL"/>
        </w:rPr>
        <w:t xml:space="preserve">Quyết định số 10/2017/QĐ-UBND ngày 27/7/2017 của Ủy ban nhân dân tỉnh Tuyên Quang </w:t>
      </w:r>
      <w:r w:rsidRPr="00A0567C">
        <w:rPr>
          <w:lang w:val="nl-NL"/>
        </w:rPr>
        <w:t>và Quyết định số 2189/QĐ-UBND ngày 07/7/2017 của Ủy ban nhân dân tỉnh Hà Giang chưa sử dụng trước ngày 01/01/2026 được bổ sung vào nguồn vốn cho vay ngân sách địa phương cấp tỉnh ủy thác qua Chi nhánh Ngân hàng Chính sách xã hội tỉnh Tuyên Quang để tiếp tục thực hiện cho vay theo quy định.</w:t>
      </w:r>
    </w:p>
    <w:p w:rsidR="002F55DE" w:rsidRPr="00A0567C" w:rsidRDefault="002F55DE" w:rsidP="002F55DE">
      <w:pPr>
        <w:pStyle w:val="BodyText2"/>
        <w:shd w:val="clear" w:color="auto" w:fill="auto"/>
        <w:spacing w:before="140" w:line="240" w:lineRule="auto"/>
        <w:ind w:right="40" w:firstLine="709"/>
        <w:rPr>
          <w:spacing w:val="-6"/>
          <w:lang w:val="nl-NL"/>
        </w:rPr>
      </w:pPr>
      <w:r w:rsidRPr="00A0567C">
        <w:rPr>
          <w:spacing w:val="-6"/>
          <w:lang w:val="nl-NL"/>
        </w:rPr>
        <w:t>3. Chi nhánh Ngân hàng Chính sách xã hội tỉnh Tuyên Quang tiếp tục thực hiện trích phí kể từ ngày 01/01/2026 (bao gồm: Trích lập dự phòng rủi ro tín dụng, trích phí quản lý nguồn vốn ủy thác cho Ngân hàng Chính sách xã hội, bổ sung nguồn vốn cho vay và trích phí để chi cho công tác tham mưu, chỉ đạo, điều hành, quản lý, tổng hợp, kiểm tra, giám sát, khen thưởng của Ban đại diện Hội đồng quản trị Ngân hàng Chính sách xã hội các cấp, các Sở, ban, ngành và các đơn vị có liên quan đến hoạt động cho vay bằng nguồn vốn ngân sách địa phương ủy thác qua Ngân hàng Chính sách xã hội) theo mức trích được quy định tại Điều 11 Quyết định này.</w:t>
      </w:r>
    </w:p>
    <w:p w:rsidR="002F55DE" w:rsidRPr="00A0567C" w:rsidRDefault="002F55DE" w:rsidP="002F55DE">
      <w:pPr>
        <w:pStyle w:val="BodyTextIndent2"/>
        <w:spacing w:before="120" w:after="0" w:line="240" w:lineRule="auto"/>
        <w:ind w:left="0" w:firstLine="686"/>
        <w:jc w:val="both"/>
        <w:rPr>
          <w:b/>
          <w:sz w:val="28"/>
          <w:szCs w:val="28"/>
        </w:rPr>
      </w:pPr>
      <w:r w:rsidRPr="00A0567C">
        <w:rPr>
          <w:b/>
          <w:sz w:val="28"/>
          <w:szCs w:val="28"/>
          <w:lang w:val="vi-VN"/>
        </w:rPr>
        <w:lastRenderedPageBreak/>
        <w:t>Điều 1</w:t>
      </w:r>
      <w:r w:rsidRPr="00A0567C">
        <w:rPr>
          <w:b/>
          <w:sz w:val="28"/>
          <w:szCs w:val="28"/>
        </w:rPr>
        <w:t>7</w:t>
      </w:r>
      <w:r w:rsidRPr="00A0567C">
        <w:rPr>
          <w:b/>
          <w:sz w:val="28"/>
          <w:szCs w:val="28"/>
          <w:lang w:val="vi-VN"/>
        </w:rPr>
        <w:t xml:space="preserve">. </w:t>
      </w:r>
      <w:r w:rsidRPr="00A0567C">
        <w:rPr>
          <w:b/>
          <w:sz w:val="28"/>
          <w:szCs w:val="28"/>
        </w:rPr>
        <w:t>Hiệu lực thi hành</w:t>
      </w:r>
    </w:p>
    <w:p w:rsidR="002F55DE" w:rsidRPr="00A0567C" w:rsidRDefault="002F55DE" w:rsidP="002F55DE">
      <w:pPr>
        <w:pStyle w:val="BodyText2"/>
        <w:shd w:val="clear" w:color="auto" w:fill="auto"/>
        <w:spacing w:before="140" w:line="240" w:lineRule="auto"/>
        <w:ind w:firstLine="709"/>
        <w:rPr>
          <w:lang w:val="nl-NL"/>
        </w:rPr>
      </w:pPr>
      <w:r w:rsidRPr="00A0567C">
        <w:rPr>
          <w:lang w:val="nl-NL"/>
        </w:rPr>
        <w:t>1. Quyết định này có hiệu lực thi hành kể từ ngày .../.../2026</w:t>
      </w:r>
    </w:p>
    <w:p w:rsidR="002F55DE" w:rsidRPr="00A0567C" w:rsidRDefault="002F55DE" w:rsidP="002F55DE">
      <w:pPr>
        <w:pStyle w:val="BodyText2"/>
        <w:shd w:val="clear" w:color="auto" w:fill="auto"/>
        <w:spacing w:before="140" w:line="240" w:lineRule="auto"/>
        <w:ind w:right="40" w:firstLine="709"/>
        <w:rPr>
          <w:lang w:val="nl-NL"/>
        </w:rPr>
      </w:pPr>
      <w:r w:rsidRPr="00A0567C">
        <w:rPr>
          <w:lang w:val="nl-NL"/>
        </w:rPr>
        <w:t>2. Các Quyết định sau đây hết hiệu lực kể từ ngày Quyết định này có hiệu lực thi hành:</w:t>
      </w:r>
    </w:p>
    <w:p w:rsidR="002F55DE" w:rsidRPr="00A0567C" w:rsidRDefault="002F55DE" w:rsidP="002F55DE">
      <w:pPr>
        <w:pStyle w:val="BodyText2"/>
        <w:shd w:val="clear" w:color="auto" w:fill="auto"/>
        <w:spacing w:before="140" w:line="240" w:lineRule="auto"/>
        <w:ind w:right="40" w:firstLine="709"/>
        <w:rPr>
          <w:spacing w:val="-4"/>
          <w:lang w:val="nl-NL"/>
        </w:rPr>
      </w:pPr>
      <w:r w:rsidRPr="00A0567C">
        <w:rPr>
          <w:spacing w:val="-4"/>
          <w:lang w:val="nl-NL"/>
        </w:rPr>
        <w:t xml:space="preserve">a) Quyết định số 10/2017/QĐ-UBND ngày 27/7/2017 của Ủy ban nhân dân tỉnh Tuyên Quang ban hành Quy chế quản lý và sử dụng nguồn vốn ngân sách địa phương ủy thác qua Ngân hàng Chính sách xã hội để cho vay theo đối với người nghèo và các đối tượng chính sách khác trên địa bàn tỉnh Tuyên Quang; </w:t>
      </w:r>
    </w:p>
    <w:p w:rsidR="002F55DE" w:rsidRPr="00A0567C" w:rsidRDefault="002F55DE" w:rsidP="002F55DE">
      <w:pPr>
        <w:pStyle w:val="BodyText2"/>
        <w:shd w:val="clear" w:color="auto" w:fill="auto"/>
        <w:spacing w:before="140" w:line="240" w:lineRule="auto"/>
        <w:ind w:right="40" w:firstLine="709"/>
        <w:rPr>
          <w:lang w:val="nl-NL"/>
        </w:rPr>
      </w:pPr>
      <w:r w:rsidRPr="00A0567C">
        <w:rPr>
          <w:lang w:val="nl-NL"/>
        </w:rPr>
        <w:t>b) Quyết định số 2189/QĐ-UBND ngày 07/7/2017 của Ủy ban nhân dân tỉnh Hà Giang ban hành Quy chế quản lý và sử dụng nguồn vốn của ngân sách địa phương ủy thác qua Ngân hàng Chính sách xã hội đế cho vay đối với các đối tượng chính sách trên địa bàn tỉnh Hà Giang.</w:t>
      </w:r>
    </w:p>
    <w:p w:rsidR="002F55DE" w:rsidRPr="00A0567C" w:rsidRDefault="002F55DE" w:rsidP="002F55DE">
      <w:pPr>
        <w:pStyle w:val="BodyText2"/>
        <w:shd w:val="clear" w:color="auto" w:fill="auto"/>
        <w:spacing w:before="140" w:line="240" w:lineRule="auto"/>
        <w:ind w:right="40" w:firstLine="709"/>
        <w:rPr>
          <w:lang w:val="nl-NL"/>
        </w:rPr>
      </w:pPr>
      <w:r w:rsidRPr="00A0567C">
        <w:rPr>
          <w:lang w:val="nl-NL"/>
        </w:rPr>
        <w:t>3</w:t>
      </w:r>
      <w:r w:rsidRPr="00A0567C">
        <w:rPr>
          <w:lang w:val="vi-VN"/>
        </w:rPr>
        <w:t xml:space="preserve">. Những quy định khác có liên quan đến quản lý, sử dụng nguồn vốn ngân sách địa phương ủy thác qua NHCSXH để cho vay người nghèo và các đối tượng chính sách khác không quy định trong </w:t>
      </w:r>
      <w:r w:rsidR="00DC50B6" w:rsidRPr="00A0567C">
        <w:t>Quyết định</w:t>
      </w:r>
      <w:r w:rsidRPr="00A0567C">
        <w:rPr>
          <w:lang w:val="vi-VN"/>
        </w:rPr>
        <w:t xml:space="preserve"> này được thực hiện theo các quy định hiện hành của Thủ tướng Chính phủ, các văn bản hướng dẫn của các Bộ, ngành Trung ương có liên quan và các văn bản hướng dẫn nghiệp vụ cho vay hiện hành của Ngân hàng Chính sách xã hội.</w:t>
      </w:r>
    </w:p>
    <w:p w:rsidR="002F55DE" w:rsidRPr="00A0567C" w:rsidRDefault="002F55DE" w:rsidP="002F55DE">
      <w:pPr>
        <w:pStyle w:val="BodyText2"/>
        <w:shd w:val="clear" w:color="auto" w:fill="auto"/>
        <w:spacing w:before="140" w:line="240" w:lineRule="auto"/>
        <w:ind w:right="40" w:firstLine="709"/>
      </w:pPr>
      <w:r w:rsidRPr="00A0567C">
        <w:rPr>
          <w:lang w:val="vi-VN"/>
        </w:rPr>
        <w:t xml:space="preserve">4. Trường hợp các văn bản quy phạm pháp luật được viện dẫn tại </w:t>
      </w:r>
      <w:r w:rsidRPr="00A0567C">
        <w:t>Quyết định</w:t>
      </w:r>
      <w:r w:rsidRPr="00A0567C">
        <w:rPr>
          <w:lang w:val="vi-VN"/>
        </w:rPr>
        <w:t xml:space="preserve"> này được sửa đổi, bổ sung, thay thế bằng văn bản mới thì áp dụng theo văn bản mới đó</w:t>
      </w:r>
      <w:r w:rsidRPr="00A0567C">
        <w:t>.</w:t>
      </w:r>
    </w:p>
    <w:p w:rsidR="002F55DE" w:rsidRPr="00A0567C" w:rsidRDefault="002F55DE" w:rsidP="002F55DE">
      <w:pPr>
        <w:pStyle w:val="BodyText2"/>
        <w:shd w:val="clear" w:color="auto" w:fill="auto"/>
        <w:spacing w:before="140" w:line="240" w:lineRule="auto"/>
        <w:ind w:left="23" w:right="40" w:firstLine="686"/>
        <w:rPr>
          <w:b/>
          <w:lang w:val="nl-NL"/>
        </w:rPr>
      </w:pPr>
      <w:r w:rsidRPr="00A0567C">
        <w:rPr>
          <w:b/>
          <w:lang w:val="nl-NL"/>
        </w:rPr>
        <w:t>Điều 18.</w:t>
      </w:r>
      <w:r w:rsidRPr="00A0567C">
        <w:rPr>
          <w:lang w:val="nl-NL"/>
        </w:rPr>
        <w:t xml:space="preserve"> </w:t>
      </w:r>
      <w:r w:rsidRPr="00A0567C">
        <w:rPr>
          <w:b/>
          <w:lang w:val="nl-NL"/>
        </w:rPr>
        <w:t>Tổ chức thực hiện</w:t>
      </w:r>
    </w:p>
    <w:p w:rsidR="002F55DE" w:rsidRPr="00A0567C" w:rsidRDefault="002F55DE" w:rsidP="002F55DE">
      <w:pPr>
        <w:pStyle w:val="BodyText2"/>
        <w:shd w:val="clear" w:color="auto" w:fill="auto"/>
        <w:spacing w:before="120" w:line="240" w:lineRule="auto"/>
        <w:ind w:right="40" w:firstLine="709"/>
        <w:rPr>
          <w:spacing w:val="-6"/>
          <w:lang w:val="nl-NL"/>
        </w:rPr>
      </w:pPr>
      <w:r w:rsidRPr="00A0567C">
        <w:rPr>
          <w:spacing w:val="-6"/>
          <w:lang w:val="nl-NL"/>
        </w:rPr>
        <w:t>Chánh Văn phòng Ủy ban nhân dân tỉnh, Giám đốc các Sở: Tài chính, Nội vụ; Kho bạc nhà nước Khu vực VIII; Giám đốc Chi nhánh Ngân hàng Chính sách xã hội tỉnh Tuyên Quang; Chủ tịch Ủy ban nhân dân các xã, phường; Trưởng Ban đại diện Hội đồng quản trị Ngân hàng Chính sách xã hội tỉnh Tuyên Quang; Thủ trưởng các cơ quan, đơn vị, tổ chức, cá nhân có liên quan căn cứ Quyết định thi hành./.</w:t>
      </w:r>
    </w:p>
    <w:p w:rsidR="002F55DE" w:rsidRPr="00A0567C" w:rsidRDefault="002F55DE" w:rsidP="002F55DE">
      <w:pPr>
        <w:pStyle w:val="BodyText2"/>
        <w:shd w:val="clear" w:color="auto" w:fill="auto"/>
        <w:spacing w:before="60" w:line="240" w:lineRule="auto"/>
        <w:ind w:left="23" w:right="40" w:firstLine="561"/>
        <w:rPr>
          <w:sz w:val="2"/>
          <w:lang w:val="nl-NL"/>
        </w:rPr>
      </w:pPr>
    </w:p>
    <w:tbl>
      <w:tblPr>
        <w:tblW w:w="9498" w:type="dxa"/>
        <w:tblInd w:w="108" w:type="dxa"/>
        <w:tblLook w:val="01E0" w:firstRow="1" w:lastRow="1" w:firstColumn="1" w:lastColumn="1" w:noHBand="0" w:noVBand="0"/>
      </w:tblPr>
      <w:tblGrid>
        <w:gridCol w:w="4111"/>
        <w:gridCol w:w="5387"/>
      </w:tblGrid>
      <w:tr w:rsidR="002F55DE" w:rsidRPr="00A0567C" w:rsidTr="008E3D82">
        <w:tc>
          <w:tcPr>
            <w:tcW w:w="4111" w:type="dxa"/>
          </w:tcPr>
          <w:p w:rsidR="002F55DE" w:rsidRPr="00A0567C" w:rsidRDefault="002F55DE" w:rsidP="008E3D82">
            <w:pPr>
              <w:jc w:val="both"/>
              <w:rPr>
                <w:b/>
                <w:bCs/>
                <w:i/>
                <w:iCs/>
                <w:lang w:val="sv-SE"/>
              </w:rPr>
            </w:pPr>
            <w:r w:rsidRPr="00A0567C">
              <w:rPr>
                <w:b/>
                <w:bCs/>
                <w:i/>
                <w:iCs/>
                <w:lang w:val="sv-SE"/>
              </w:rPr>
              <w:t xml:space="preserve">Nơi nhận: </w:t>
            </w:r>
          </w:p>
          <w:p w:rsidR="002F55DE" w:rsidRPr="00A0567C" w:rsidRDefault="002F55DE" w:rsidP="008E3D82">
            <w:pPr>
              <w:pStyle w:val="Bodytext60"/>
              <w:numPr>
                <w:ilvl w:val="0"/>
                <w:numId w:val="1"/>
              </w:numPr>
              <w:shd w:val="clear" w:color="auto" w:fill="auto"/>
              <w:tabs>
                <w:tab w:val="left" w:pos="150"/>
              </w:tabs>
              <w:ind w:left="20"/>
              <w:rPr>
                <w:sz w:val="22"/>
              </w:rPr>
            </w:pPr>
            <w:r w:rsidRPr="00A0567C">
              <w:rPr>
                <w:sz w:val="22"/>
              </w:rPr>
              <w:t>Chính phủ;</w:t>
            </w:r>
          </w:p>
          <w:p w:rsidR="002F55DE" w:rsidRPr="00A0567C" w:rsidRDefault="002F55DE" w:rsidP="008E3D82">
            <w:pPr>
              <w:pStyle w:val="Bodytext60"/>
              <w:numPr>
                <w:ilvl w:val="0"/>
                <w:numId w:val="1"/>
              </w:numPr>
              <w:shd w:val="clear" w:color="auto" w:fill="auto"/>
              <w:tabs>
                <w:tab w:val="left" w:pos="150"/>
              </w:tabs>
              <w:ind w:left="20"/>
              <w:rPr>
                <w:sz w:val="22"/>
              </w:rPr>
            </w:pPr>
            <w:r w:rsidRPr="00A0567C">
              <w:rPr>
                <w:sz w:val="22"/>
              </w:rPr>
              <w:t>Cục Kiểm tra văn bản &amp; Quản lý xử lý vi phạm hành chính - Bộ Tư pháp;</w:t>
            </w:r>
          </w:p>
          <w:p w:rsidR="002F55DE" w:rsidRPr="00A0567C" w:rsidRDefault="002F55DE" w:rsidP="008E3D82">
            <w:pPr>
              <w:pStyle w:val="Bodytext60"/>
              <w:shd w:val="clear" w:color="auto" w:fill="auto"/>
              <w:ind w:left="20"/>
              <w:rPr>
                <w:sz w:val="22"/>
              </w:rPr>
            </w:pPr>
            <w:r w:rsidRPr="00A0567C">
              <w:rPr>
                <w:sz w:val="22"/>
              </w:rPr>
              <w:t>- Vụ pháp chế - Bộ Tài chính;</w:t>
            </w:r>
          </w:p>
          <w:p w:rsidR="002F55DE" w:rsidRPr="00A0567C" w:rsidRDefault="002F55DE" w:rsidP="008E3D82">
            <w:pPr>
              <w:pStyle w:val="Bodytext60"/>
              <w:shd w:val="clear" w:color="auto" w:fill="auto"/>
              <w:ind w:left="20"/>
              <w:rPr>
                <w:sz w:val="22"/>
              </w:rPr>
            </w:pPr>
            <w:r w:rsidRPr="00A0567C">
              <w:rPr>
                <w:sz w:val="22"/>
              </w:rPr>
              <w:t>- Ngân hàng CSXH Việt Nam;</w:t>
            </w:r>
          </w:p>
          <w:p w:rsidR="002F55DE" w:rsidRPr="00A0567C" w:rsidRDefault="002F55DE" w:rsidP="008E3D82">
            <w:pPr>
              <w:pStyle w:val="Bodytext60"/>
              <w:shd w:val="clear" w:color="auto" w:fill="auto"/>
              <w:ind w:left="20"/>
              <w:rPr>
                <w:sz w:val="22"/>
              </w:rPr>
            </w:pPr>
            <w:r w:rsidRPr="00A0567C">
              <w:rPr>
                <w:sz w:val="22"/>
              </w:rPr>
              <w:t>- Thường trực Tỉnh ủy;</w:t>
            </w:r>
          </w:p>
          <w:p w:rsidR="002F55DE" w:rsidRPr="00A0567C" w:rsidRDefault="002F55DE" w:rsidP="008E3D82">
            <w:pPr>
              <w:pStyle w:val="Bodytext60"/>
              <w:shd w:val="clear" w:color="auto" w:fill="auto"/>
              <w:ind w:left="20"/>
              <w:rPr>
                <w:sz w:val="22"/>
              </w:rPr>
            </w:pPr>
            <w:r w:rsidRPr="00A0567C">
              <w:rPr>
                <w:sz w:val="22"/>
              </w:rPr>
              <w:t>- Thường trực HĐND tỉnh;</w:t>
            </w:r>
          </w:p>
          <w:p w:rsidR="002F55DE" w:rsidRPr="00A0567C" w:rsidRDefault="002F55DE" w:rsidP="008E3D82">
            <w:pPr>
              <w:pStyle w:val="Bodytext60"/>
              <w:numPr>
                <w:ilvl w:val="0"/>
                <w:numId w:val="1"/>
              </w:numPr>
              <w:shd w:val="clear" w:color="auto" w:fill="auto"/>
              <w:tabs>
                <w:tab w:val="left" w:pos="150"/>
              </w:tabs>
              <w:ind w:left="20"/>
              <w:rPr>
                <w:sz w:val="22"/>
              </w:rPr>
            </w:pPr>
            <w:r w:rsidRPr="00A0567C">
              <w:rPr>
                <w:sz w:val="22"/>
              </w:rPr>
              <w:t>Đoàn đại biểu Quốc hội tỉnh;</w:t>
            </w:r>
          </w:p>
          <w:p w:rsidR="002F55DE" w:rsidRPr="00A0567C" w:rsidRDefault="002F55DE" w:rsidP="008E3D82">
            <w:pPr>
              <w:pStyle w:val="Bodytext60"/>
              <w:numPr>
                <w:ilvl w:val="0"/>
                <w:numId w:val="1"/>
              </w:numPr>
              <w:shd w:val="clear" w:color="auto" w:fill="auto"/>
              <w:tabs>
                <w:tab w:val="left" w:pos="150"/>
              </w:tabs>
              <w:ind w:left="20"/>
              <w:rPr>
                <w:sz w:val="22"/>
              </w:rPr>
            </w:pPr>
            <w:r w:rsidRPr="00A0567C">
              <w:rPr>
                <w:sz w:val="22"/>
              </w:rPr>
              <w:t>Chủ tịch, các PCT UBND tỉnh;</w:t>
            </w:r>
          </w:p>
          <w:p w:rsidR="002F55DE" w:rsidRPr="00A0567C" w:rsidRDefault="002F55DE" w:rsidP="008E3D82">
            <w:pPr>
              <w:pStyle w:val="Bodytext60"/>
              <w:numPr>
                <w:ilvl w:val="0"/>
                <w:numId w:val="1"/>
              </w:numPr>
              <w:shd w:val="clear" w:color="auto" w:fill="auto"/>
              <w:tabs>
                <w:tab w:val="left" w:pos="150"/>
              </w:tabs>
              <w:ind w:left="20"/>
              <w:rPr>
                <w:sz w:val="22"/>
              </w:rPr>
            </w:pPr>
            <w:r w:rsidRPr="00A0567C">
              <w:rPr>
                <w:sz w:val="22"/>
              </w:rPr>
              <w:t>Sở Tư pháp;</w:t>
            </w:r>
          </w:p>
          <w:p w:rsidR="002F55DE" w:rsidRPr="00A0567C" w:rsidRDefault="002F55DE" w:rsidP="008E3D82">
            <w:pPr>
              <w:pStyle w:val="Bodytext60"/>
              <w:numPr>
                <w:ilvl w:val="0"/>
                <w:numId w:val="1"/>
              </w:numPr>
              <w:shd w:val="clear" w:color="auto" w:fill="auto"/>
              <w:tabs>
                <w:tab w:val="left" w:pos="150"/>
              </w:tabs>
              <w:ind w:left="20"/>
              <w:rPr>
                <w:sz w:val="22"/>
              </w:rPr>
            </w:pPr>
            <w:r w:rsidRPr="00A0567C">
              <w:rPr>
                <w:sz w:val="22"/>
              </w:rPr>
              <w:t>Các Sở, ban, ngành;</w:t>
            </w:r>
          </w:p>
          <w:p w:rsidR="002F55DE" w:rsidRPr="00A0567C" w:rsidRDefault="002F55DE" w:rsidP="008E3D82">
            <w:pPr>
              <w:pStyle w:val="Bodytext60"/>
              <w:numPr>
                <w:ilvl w:val="0"/>
                <w:numId w:val="1"/>
              </w:numPr>
              <w:shd w:val="clear" w:color="auto" w:fill="auto"/>
              <w:tabs>
                <w:tab w:val="left" w:pos="150"/>
              </w:tabs>
              <w:ind w:left="20"/>
              <w:rPr>
                <w:sz w:val="22"/>
              </w:rPr>
            </w:pPr>
            <w:r w:rsidRPr="00A0567C">
              <w:rPr>
                <w:sz w:val="22"/>
              </w:rPr>
              <w:t>Tổng Giám đốc NHCSXH;</w:t>
            </w:r>
          </w:p>
          <w:p w:rsidR="002F55DE" w:rsidRPr="00A0567C" w:rsidRDefault="002F55DE" w:rsidP="008E3D82">
            <w:pPr>
              <w:pStyle w:val="Bodytext60"/>
              <w:numPr>
                <w:ilvl w:val="0"/>
                <w:numId w:val="1"/>
              </w:numPr>
              <w:shd w:val="clear" w:color="auto" w:fill="auto"/>
              <w:tabs>
                <w:tab w:val="left" w:pos="150"/>
              </w:tabs>
              <w:ind w:left="20"/>
              <w:rPr>
                <w:sz w:val="22"/>
              </w:rPr>
            </w:pPr>
            <w:r w:rsidRPr="00A0567C">
              <w:rPr>
                <w:sz w:val="22"/>
              </w:rPr>
              <w:t>Công báo Tuyên Quang;</w:t>
            </w:r>
          </w:p>
          <w:p w:rsidR="002F55DE" w:rsidRPr="00A0567C" w:rsidRDefault="002F55DE" w:rsidP="008E3D82">
            <w:pPr>
              <w:pStyle w:val="Bodytext60"/>
              <w:numPr>
                <w:ilvl w:val="0"/>
                <w:numId w:val="1"/>
              </w:numPr>
              <w:shd w:val="clear" w:color="auto" w:fill="auto"/>
              <w:tabs>
                <w:tab w:val="left" w:pos="150"/>
              </w:tabs>
              <w:ind w:left="20"/>
              <w:rPr>
                <w:sz w:val="22"/>
              </w:rPr>
            </w:pPr>
            <w:r w:rsidRPr="00A0567C">
              <w:rPr>
                <w:sz w:val="22"/>
              </w:rPr>
              <w:t>Như Điều 3;</w:t>
            </w:r>
          </w:p>
          <w:p w:rsidR="002F55DE" w:rsidRPr="00A0567C" w:rsidRDefault="002F55DE" w:rsidP="008E3D82">
            <w:pPr>
              <w:pStyle w:val="Bodytext70"/>
              <w:numPr>
                <w:ilvl w:val="0"/>
                <w:numId w:val="1"/>
              </w:numPr>
              <w:shd w:val="clear" w:color="auto" w:fill="auto"/>
              <w:tabs>
                <w:tab w:val="left" w:pos="150"/>
              </w:tabs>
              <w:ind w:left="20"/>
              <w:rPr>
                <w:rFonts w:ascii="Times New Roman" w:hAnsi="Times New Roman" w:cs="Times New Roman"/>
                <w:sz w:val="22"/>
                <w:szCs w:val="22"/>
              </w:rPr>
            </w:pPr>
            <w:r w:rsidRPr="00A0567C">
              <w:rPr>
                <w:rFonts w:ascii="Times New Roman" w:hAnsi="Times New Roman" w:cs="Times New Roman"/>
                <w:sz w:val="22"/>
                <w:szCs w:val="22"/>
              </w:rPr>
              <w:t>CVP; các PCVP UBND tỉnh;</w:t>
            </w:r>
          </w:p>
          <w:p w:rsidR="002F55DE" w:rsidRPr="00A0567C" w:rsidRDefault="002F55DE" w:rsidP="008E3D82">
            <w:pPr>
              <w:pStyle w:val="Bodytext70"/>
              <w:numPr>
                <w:ilvl w:val="0"/>
                <w:numId w:val="1"/>
              </w:numPr>
              <w:shd w:val="clear" w:color="auto" w:fill="auto"/>
              <w:tabs>
                <w:tab w:val="left" w:pos="150"/>
              </w:tabs>
              <w:ind w:left="20"/>
              <w:rPr>
                <w:rFonts w:ascii="Times New Roman" w:hAnsi="Times New Roman" w:cs="Times New Roman"/>
                <w:sz w:val="22"/>
                <w:szCs w:val="22"/>
              </w:rPr>
            </w:pPr>
            <w:r w:rsidRPr="00A0567C">
              <w:rPr>
                <w:rFonts w:ascii="Times New Roman" w:hAnsi="Times New Roman" w:cs="Times New Roman"/>
                <w:sz w:val="22"/>
                <w:szCs w:val="22"/>
              </w:rPr>
              <w:t>Cổng thông tin điện tử tỉnh;</w:t>
            </w:r>
          </w:p>
          <w:p w:rsidR="002F55DE" w:rsidRPr="00A0567C" w:rsidRDefault="002F55DE" w:rsidP="008E3D82">
            <w:pPr>
              <w:rPr>
                <w:sz w:val="22"/>
                <w:szCs w:val="22"/>
                <w:lang w:val="en-US"/>
              </w:rPr>
            </w:pPr>
            <w:r w:rsidRPr="00A0567C">
              <w:rPr>
                <w:sz w:val="22"/>
                <w:szCs w:val="22"/>
              </w:rPr>
              <w:t>- Lưu</w:t>
            </w:r>
            <w:r w:rsidRPr="00A0567C">
              <w:rPr>
                <w:sz w:val="22"/>
                <w:szCs w:val="22"/>
                <w:lang w:val="en-US"/>
              </w:rPr>
              <w:t xml:space="preserve">: </w:t>
            </w:r>
            <w:r w:rsidRPr="00A0567C">
              <w:rPr>
                <w:sz w:val="22"/>
                <w:szCs w:val="22"/>
              </w:rPr>
              <w:t>VT</w:t>
            </w:r>
            <w:r w:rsidRPr="00A0567C">
              <w:rPr>
                <w:sz w:val="22"/>
                <w:szCs w:val="22"/>
                <w:lang w:val="en-US"/>
              </w:rPr>
              <w:t>.</w:t>
            </w: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p w:rsidR="002F55DE" w:rsidRPr="00A0567C" w:rsidRDefault="002F55DE" w:rsidP="008E3D82">
            <w:pPr>
              <w:rPr>
                <w:sz w:val="22"/>
                <w:szCs w:val="22"/>
                <w:lang w:val="en-US"/>
              </w:rPr>
            </w:pPr>
          </w:p>
        </w:tc>
        <w:tc>
          <w:tcPr>
            <w:tcW w:w="5387" w:type="dxa"/>
          </w:tcPr>
          <w:p w:rsidR="002F55DE" w:rsidRPr="00A0567C" w:rsidRDefault="002F55DE" w:rsidP="008E3D82">
            <w:pPr>
              <w:jc w:val="center"/>
              <w:rPr>
                <w:b/>
                <w:bCs/>
                <w:sz w:val="28"/>
                <w:szCs w:val="28"/>
                <w:lang w:val="sv-SE"/>
              </w:rPr>
            </w:pPr>
            <w:r w:rsidRPr="00A0567C">
              <w:rPr>
                <w:b/>
                <w:bCs/>
                <w:sz w:val="28"/>
                <w:szCs w:val="28"/>
                <w:lang w:val="sv-SE"/>
              </w:rPr>
              <w:lastRenderedPageBreak/>
              <w:t>TM. ỦY BAN NHÂN DÂN</w:t>
            </w:r>
          </w:p>
          <w:p w:rsidR="002F55DE" w:rsidRPr="00A0567C" w:rsidRDefault="002F55DE" w:rsidP="008E3D82">
            <w:pPr>
              <w:jc w:val="center"/>
              <w:rPr>
                <w:b/>
                <w:bCs/>
                <w:sz w:val="28"/>
                <w:szCs w:val="28"/>
                <w:lang w:val="sv-SE"/>
              </w:rPr>
            </w:pPr>
            <w:r w:rsidRPr="00A0567C">
              <w:rPr>
                <w:b/>
                <w:bCs/>
                <w:sz w:val="28"/>
                <w:szCs w:val="28"/>
                <w:lang w:val="sv-SE"/>
              </w:rPr>
              <w:t>CHỦ TỊCH</w:t>
            </w:r>
          </w:p>
          <w:p w:rsidR="002F55DE" w:rsidRPr="00A0567C" w:rsidRDefault="002F55DE" w:rsidP="008E3D82">
            <w:pPr>
              <w:jc w:val="center"/>
              <w:rPr>
                <w:b/>
                <w:bCs/>
                <w:sz w:val="28"/>
                <w:szCs w:val="28"/>
                <w:lang w:val="sv-SE"/>
              </w:rPr>
            </w:pPr>
          </w:p>
          <w:p w:rsidR="002F55DE" w:rsidRPr="00A0567C" w:rsidRDefault="002F55DE" w:rsidP="008E3D82">
            <w:pPr>
              <w:jc w:val="center"/>
              <w:rPr>
                <w:b/>
                <w:bCs/>
                <w:sz w:val="28"/>
                <w:szCs w:val="28"/>
                <w:lang w:val="sv-SE"/>
              </w:rPr>
            </w:pPr>
          </w:p>
          <w:p w:rsidR="002F55DE" w:rsidRPr="00A0567C" w:rsidRDefault="002F55DE" w:rsidP="008E3D82">
            <w:pPr>
              <w:jc w:val="center"/>
              <w:rPr>
                <w:b/>
                <w:bCs/>
                <w:sz w:val="44"/>
                <w:szCs w:val="28"/>
                <w:lang w:val="sv-SE"/>
              </w:rPr>
            </w:pPr>
          </w:p>
          <w:p w:rsidR="002F55DE" w:rsidRPr="00A0567C" w:rsidRDefault="002F55DE" w:rsidP="008E3D82">
            <w:pPr>
              <w:jc w:val="center"/>
              <w:rPr>
                <w:b/>
                <w:bCs/>
                <w:sz w:val="28"/>
                <w:szCs w:val="28"/>
                <w:lang w:val="sv-SE"/>
              </w:rPr>
            </w:pPr>
          </w:p>
          <w:p w:rsidR="002F55DE" w:rsidRPr="00A0567C" w:rsidRDefault="002F55DE" w:rsidP="008E3D82">
            <w:pPr>
              <w:jc w:val="center"/>
              <w:rPr>
                <w:b/>
                <w:bCs/>
                <w:sz w:val="28"/>
                <w:szCs w:val="28"/>
                <w:lang w:val="sv-SE"/>
              </w:rPr>
            </w:pPr>
          </w:p>
          <w:p w:rsidR="002F55DE" w:rsidRPr="00A0567C" w:rsidRDefault="002F55DE" w:rsidP="008E3D82">
            <w:pPr>
              <w:jc w:val="center"/>
              <w:rPr>
                <w:b/>
                <w:bCs/>
                <w:lang w:val="sv-SE"/>
              </w:rPr>
            </w:pPr>
            <w:r w:rsidRPr="00A0567C">
              <w:rPr>
                <w:b/>
                <w:bCs/>
                <w:sz w:val="28"/>
                <w:szCs w:val="28"/>
                <w:lang w:val="sv-SE"/>
              </w:rPr>
              <w:t>Phan Huy Ngọc</w:t>
            </w:r>
          </w:p>
        </w:tc>
      </w:tr>
      <w:bookmarkEnd w:id="0"/>
    </w:tbl>
    <w:p w:rsidR="002F55DE" w:rsidRPr="00A0567C" w:rsidRDefault="002F55DE" w:rsidP="002F55DE">
      <w:pPr>
        <w:pStyle w:val="BodyText2"/>
        <w:shd w:val="clear" w:color="auto" w:fill="auto"/>
        <w:spacing w:before="140" w:line="240" w:lineRule="auto"/>
        <w:ind w:right="40" w:firstLine="709"/>
      </w:pPr>
    </w:p>
    <w:sectPr w:rsidR="002F55DE" w:rsidRPr="00A0567C" w:rsidSect="002F55DE">
      <w:headerReference w:type="default" r:id="rId12"/>
      <w:pgSz w:w="11907" w:h="16840" w:code="9"/>
      <w:pgMar w:top="1134" w:right="1134" w:bottom="1134" w:left="1701" w:header="561" w:footer="56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1A9" w:rsidRDefault="008931A9">
      <w:r>
        <w:separator/>
      </w:r>
    </w:p>
  </w:endnote>
  <w:endnote w:type="continuationSeparator" w:id="0">
    <w:p w:rsidR="008931A9" w:rsidRDefault="0089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1A9" w:rsidRDefault="008931A9">
      <w:r>
        <w:separator/>
      </w:r>
    </w:p>
  </w:footnote>
  <w:footnote w:type="continuationSeparator" w:id="0">
    <w:p w:rsidR="008931A9" w:rsidRDefault="008931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301941"/>
      <w:docPartObj>
        <w:docPartGallery w:val="Page Numbers (Top of Page)"/>
        <w:docPartUnique/>
      </w:docPartObj>
    </w:sdtPr>
    <w:sdtEndPr>
      <w:rPr>
        <w:noProof/>
      </w:rPr>
    </w:sdtEndPr>
    <w:sdtContent>
      <w:p w:rsidR="002F55DE" w:rsidRDefault="002F55DE">
        <w:pPr>
          <w:pStyle w:val="Header"/>
          <w:jc w:val="center"/>
        </w:pPr>
        <w:r>
          <w:fldChar w:fldCharType="begin"/>
        </w:r>
        <w:r>
          <w:instrText xml:space="preserve"> PAGE   \* MERGEFORMAT </w:instrText>
        </w:r>
        <w:r>
          <w:fldChar w:fldCharType="separate"/>
        </w:r>
        <w:r w:rsidR="00A0567C">
          <w:rPr>
            <w:noProof/>
          </w:rPr>
          <w:t>10</w:t>
        </w:r>
        <w:r>
          <w:rPr>
            <w:noProof/>
          </w:rPr>
          <w:fldChar w:fldCharType="end"/>
        </w:r>
      </w:p>
    </w:sdtContent>
  </w:sdt>
  <w:p w:rsidR="002F55DE" w:rsidRDefault="002F55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04AE"/>
    <w:multiLevelType w:val="hybridMultilevel"/>
    <w:tmpl w:val="50203D00"/>
    <w:lvl w:ilvl="0" w:tplc="A120C8B8">
      <w:start w:val="1"/>
      <w:numFmt w:val="decimal"/>
      <w:lvlText w:val="%1."/>
      <w:lvlJc w:val="left"/>
      <w:pPr>
        <w:ind w:left="1046" w:hanging="360"/>
      </w:pPr>
      <w:rPr>
        <w:rFonts w:ascii="Times New Roman" w:eastAsia="Times New Roman" w:hAnsi="Times New Roman" w:cs="Times New Roman"/>
        <w:b/>
        <w:w w:val="99"/>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 w15:restartNumberingAfterBreak="0">
    <w:nsid w:val="239678DA"/>
    <w:multiLevelType w:val="hybridMultilevel"/>
    <w:tmpl w:val="CE5E66C8"/>
    <w:lvl w:ilvl="0" w:tplc="A48E65D6">
      <w:start w:val="1"/>
      <w:numFmt w:val="decimal"/>
      <w:lvlText w:val="%1."/>
      <w:lvlJc w:val="left"/>
      <w:pPr>
        <w:ind w:left="1046" w:hanging="360"/>
      </w:pPr>
      <w:rPr>
        <w:rFonts w:ascii="Times New Roman" w:eastAsia="Times New Roman" w:hAnsi="Times New Roman" w:cs="Times New Roman"/>
        <w:b/>
        <w:w w:val="99"/>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 w15:restartNumberingAfterBreak="0">
    <w:nsid w:val="46475BF4"/>
    <w:multiLevelType w:val="hybridMultilevel"/>
    <w:tmpl w:val="CB9CA912"/>
    <w:lvl w:ilvl="0" w:tplc="EF8443AE">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 w15:restartNumberingAfterBreak="0">
    <w:nsid w:val="554D26A6"/>
    <w:multiLevelType w:val="multilevel"/>
    <w:tmpl w:val="BF28F5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A91CBD"/>
    <w:multiLevelType w:val="hybridMultilevel"/>
    <w:tmpl w:val="2910CA38"/>
    <w:lvl w:ilvl="0" w:tplc="571C5488">
      <w:start w:val="1"/>
      <w:numFmt w:val="decimal"/>
      <w:lvlText w:val="%1."/>
      <w:lvlJc w:val="left"/>
      <w:pPr>
        <w:ind w:left="1046" w:hanging="360"/>
      </w:pPr>
      <w:rPr>
        <w:b/>
        <w:w w:val="99"/>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0D8"/>
    <w:rsid w:val="000011BB"/>
    <w:rsid w:val="00017C84"/>
    <w:rsid w:val="00043C8D"/>
    <w:rsid w:val="00070F7E"/>
    <w:rsid w:val="00086445"/>
    <w:rsid w:val="00093AC2"/>
    <w:rsid w:val="00093D5F"/>
    <w:rsid w:val="000A2EE4"/>
    <w:rsid w:val="000A6D68"/>
    <w:rsid w:val="00105F31"/>
    <w:rsid w:val="00106BD3"/>
    <w:rsid w:val="00112DB4"/>
    <w:rsid w:val="00131067"/>
    <w:rsid w:val="00160B45"/>
    <w:rsid w:val="00180027"/>
    <w:rsid w:val="001841B6"/>
    <w:rsid w:val="00193189"/>
    <w:rsid w:val="00196715"/>
    <w:rsid w:val="001A0DA0"/>
    <w:rsid w:val="001A39B0"/>
    <w:rsid w:val="001A485F"/>
    <w:rsid w:val="001A495D"/>
    <w:rsid w:val="001B38E4"/>
    <w:rsid w:val="001B3AB4"/>
    <w:rsid w:val="00200F55"/>
    <w:rsid w:val="00206190"/>
    <w:rsid w:val="00212D9C"/>
    <w:rsid w:val="00216BD3"/>
    <w:rsid w:val="00221301"/>
    <w:rsid w:val="0022577F"/>
    <w:rsid w:val="00226E9F"/>
    <w:rsid w:val="00246F6D"/>
    <w:rsid w:val="00257F22"/>
    <w:rsid w:val="00265476"/>
    <w:rsid w:val="00271F7C"/>
    <w:rsid w:val="0027304B"/>
    <w:rsid w:val="0029749B"/>
    <w:rsid w:val="002A394F"/>
    <w:rsid w:val="002E0A46"/>
    <w:rsid w:val="002E54FB"/>
    <w:rsid w:val="002E78D3"/>
    <w:rsid w:val="002E7A23"/>
    <w:rsid w:val="002F55DE"/>
    <w:rsid w:val="00302C84"/>
    <w:rsid w:val="00317413"/>
    <w:rsid w:val="00326D65"/>
    <w:rsid w:val="00326E50"/>
    <w:rsid w:val="003622D7"/>
    <w:rsid w:val="00387D6E"/>
    <w:rsid w:val="00391E3C"/>
    <w:rsid w:val="003925A4"/>
    <w:rsid w:val="003A165A"/>
    <w:rsid w:val="003A378A"/>
    <w:rsid w:val="003B12B0"/>
    <w:rsid w:val="003B711B"/>
    <w:rsid w:val="003C521E"/>
    <w:rsid w:val="003E0982"/>
    <w:rsid w:val="003E48CE"/>
    <w:rsid w:val="00410B82"/>
    <w:rsid w:val="0041511A"/>
    <w:rsid w:val="004227E2"/>
    <w:rsid w:val="00427808"/>
    <w:rsid w:val="00434E07"/>
    <w:rsid w:val="00436BAF"/>
    <w:rsid w:val="00451954"/>
    <w:rsid w:val="00470495"/>
    <w:rsid w:val="00475B91"/>
    <w:rsid w:val="00495DCA"/>
    <w:rsid w:val="004A20A3"/>
    <w:rsid w:val="004A39C1"/>
    <w:rsid w:val="004C3156"/>
    <w:rsid w:val="004D0FB2"/>
    <w:rsid w:val="004D583B"/>
    <w:rsid w:val="004D6E1C"/>
    <w:rsid w:val="004D7996"/>
    <w:rsid w:val="004E2051"/>
    <w:rsid w:val="004E42DE"/>
    <w:rsid w:val="004F0EA5"/>
    <w:rsid w:val="0050040C"/>
    <w:rsid w:val="00500466"/>
    <w:rsid w:val="00505DA4"/>
    <w:rsid w:val="0053536B"/>
    <w:rsid w:val="005354FA"/>
    <w:rsid w:val="00536E0F"/>
    <w:rsid w:val="0054732C"/>
    <w:rsid w:val="005640E2"/>
    <w:rsid w:val="005671DA"/>
    <w:rsid w:val="00571CF1"/>
    <w:rsid w:val="00593616"/>
    <w:rsid w:val="00595F07"/>
    <w:rsid w:val="005B19D6"/>
    <w:rsid w:val="005B4592"/>
    <w:rsid w:val="005E01AD"/>
    <w:rsid w:val="005E3404"/>
    <w:rsid w:val="005E45DB"/>
    <w:rsid w:val="005E767D"/>
    <w:rsid w:val="005F1DD3"/>
    <w:rsid w:val="005F2B29"/>
    <w:rsid w:val="005F4F73"/>
    <w:rsid w:val="005F5C90"/>
    <w:rsid w:val="006378FF"/>
    <w:rsid w:val="006550EC"/>
    <w:rsid w:val="00662237"/>
    <w:rsid w:val="006700D8"/>
    <w:rsid w:val="006C00D2"/>
    <w:rsid w:val="006C1CEC"/>
    <w:rsid w:val="00704E22"/>
    <w:rsid w:val="007654F0"/>
    <w:rsid w:val="00766ED3"/>
    <w:rsid w:val="00776B8B"/>
    <w:rsid w:val="00777B6E"/>
    <w:rsid w:val="00792467"/>
    <w:rsid w:val="00796231"/>
    <w:rsid w:val="00796962"/>
    <w:rsid w:val="007A7E41"/>
    <w:rsid w:val="007E1317"/>
    <w:rsid w:val="008001D1"/>
    <w:rsid w:val="00801943"/>
    <w:rsid w:val="00803D11"/>
    <w:rsid w:val="008239CC"/>
    <w:rsid w:val="008314C7"/>
    <w:rsid w:val="008441F5"/>
    <w:rsid w:val="008446B8"/>
    <w:rsid w:val="008675C7"/>
    <w:rsid w:val="008722A8"/>
    <w:rsid w:val="008808E8"/>
    <w:rsid w:val="008931A9"/>
    <w:rsid w:val="00897766"/>
    <w:rsid w:val="008B3695"/>
    <w:rsid w:val="008D18B3"/>
    <w:rsid w:val="008D2876"/>
    <w:rsid w:val="008D4C1D"/>
    <w:rsid w:val="008E3309"/>
    <w:rsid w:val="008E4408"/>
    <w:rsid w:val="008F28EC"/>
    <w:rsid w:val="0090307E"/>
    <w:rsid w:val="00906823"/>
    <w:rsid w:val="0091797D"/>
    <w:rsid w:val="0092007F"/>
    <w:rsid w:val="00933646"/>
    <w:rsid w:val="00941842"/>
    <w:rsid w:val="00942B08"/>
    <w:rsid w:val="00957BA3"/>
    <w:rsid w:val="009623EE"/>
    <w:rsid w:val="00975773"/>
    <w:rsid w:val="009A08A5"/>
    <w:rsid w:val="009B168E"/>
    <w:rsid w:val="009B7346"/>
    <w:rsid w:val="009B75D3"/>
    <w:rsid w:val="009F77BE"/>
    <w:rsid w:val="00A0567C"/>
    <w:rsid w:val="00A302DD"/>
    <w:rsid w:val="00A33657"/>
    <w:rsid w:val="00A361B6"/>
    <w:rsid w:val="00A40D7C"/>
    <w:rsid w:val="00A42F8F"/>
    <w:rsid w:val="00A515EE"/>
    <w:rsid w:val="00A52BBC"/>
    <w:rsid w:val="00A72D83"/>
    <w:rsid w:val="00A8699B"/>
    <w:rsid w:val="00A90B1C"/>
    <w:rsid w:val="00AB0220"/>
    <w:rsid w:val="00AC0A95"/>
    <w:rsid w:val="00AE048C"/>
    <w:rsid w:val="00AE0979"/>
    <w:rsid w:val="00B01F72"/>
    <w:rsid w:val="00B05AC3"/>
    <w:rsid w:val="00B075C5"/>
    <w:rsid w:val="00B44243"/>
    <w:rsid w:val="00B45784"/>
    <w:rsid w:val="00B45D1A"/>
    <w:rsid w:val="00B47589"/>
    <w:rsid w:val="00B53995"/>
    <w:rsid w:val="00B8405D"/>
    <w:rsid w:val="00B90BEF"/>
    <w:rsid w:val="00BA7F20"/>
    <w:rsid w:val="00BB7DC9"/>
    <w:rsid w:val="00BC68F4"/>
    <w:rsid w:val="00BE2171"/>
    <w:rsid w:val="00BF3AE8"/>
    <w:rsid w:val="00C02174"/>
    <w:rsid w:val="00C07083"/>
    <w:rsid w:val="00C10AC9"/>
    <w:rsid w:val="00C14DD5"/>
    <w:rsid w:val="00C2473C"/>
    <w:rsid w:val="00C33DE2"/>
    <w:rsid w:val="00C34058"/>
    <w:rsid w:val="00C45EAE"/>
    <w:rsid w:val="00C613E8"/>
    <w:rsid w:val="00C7504B"/>
    <w:rsid w:val="00C818C4"/>
    <w:rsid w:val="00CA558F"/>
    <w:rsid w:val="00CC6528"/>
    <w:rsid w:val="00CD6123"/>
    <w:rsid w:val="00CE5E85"/>
    <w:rsid w:val="00D063C9"/>
    <w:rsid w:val="00D123F7"/>
    <w:rsid w:val="00D30823"/>
    <w:rsid w:val="00D47CFD"/>
    <w:rsid w:val="00D50C19"/>
    <w:rsid w:val="00D90FA5"/>
    <w:rsid w:val="00D92071"/>
    <w:rsid w:val="00DC50B6"/>
    <w:rsid w:val="00DD3A77"/>
    <w:rsid w:val="00DE08D7"/>
    <w:rsid w:val="00DE4104"/>
    <w:rsid w:val="00DE77EF"/>
    <w:rsid w:val="00E138A7"/>
    <w:rsid w:val="00E141D8"/>
    <w:rsid w:val="00E213D0"/>
    <w:rsid w:val="00E47EAE"/>
    <w:rsid w:val="00E534A7"/>
    <w:rsid w:val="00E53930"/>
    <w:rsid w:val="00E557E5"/>
    <w:rsid w:val="00E7370E"/>
    <w:rsid w:val="00E8667B"/>
    <w:rsid w:val="00E92773"/>
    <w:rsid w:val="00EA0CCC"/>
    <w:rsid w:val="00EA7209"/>
    <w:rsid w:val="00EC48EA"/>
    <w:rsid w:val="00ED77A5"/>
    <w:rsid w:val="00ED7BF7"/>
    <w:rsid w:val="00EF5364"/>
    <w:rsid w:val="00F33310"/>
    <w:rsid w:val="00F46E75"/>
    <w:rsid w:val="00F63B47"/>
    <w:rsid w:val="00F63B5C"/>
    <w:rsid w:val="00F70E72"/>
    <w:rsid w:val="00F71217"/>
    <w:rsid w:val="00F84279"/>
    <w:rsid w:val="00F87D0F"/>
    <w:rsid w:val="00FA463E"/>
    <w:rsid w:val="00FB173E"/>
    <w:rsid w:val="00FB2901"/>
    <w:rsid w:val="00FC605B"/>
    <w:rsid w:val="00FD0C34"/>
    <w:rsid w:val="00FD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665F4-0103-487E-BBE8-D7FE5DFE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B82"/>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Char Char1,Char Char5,webb, Char Char Char"/>
    <w:basedOn w:val="Normal"/>
    <w:link w:val="NormalWebChar"/>
    <w:uiPriority w:val="99"/>
    <w:qFormat/>
    <w:rsid w:val="00410B82"/>
    <w:pPr>
      <w:spacing w:before="100" w:beforeAutospacing="1" w:after="100" w:afterAutospacing="1"/>
    </w:pPr>
    <w:rPr>
      <w:lang w:val="en-US" w:eastAsia="en-US"/>
    </w:rPr>
  </w:style>
  <w:style w:type="character" w:customStyle="1" w:styleId="Bodytext">
    <w:name w:val="Body text_"/>
    <w:link w:val="BodyText2"/>
    <w:rsid w:val="00410B82"/>
    <w:rPr>
      <w:szCs w:val="28"/>
      <w:shd w:val="clear" w:color="auto" w:fill="FFFFFF"/>
    </w:rPr>
  </w:style>
  <w:style w:type="paragraph" w:customStyle="1" w:styleId="BodyText2">
    <w:name w:val="Body Text2"/>
    <w:basedOn w:val="Normal"/>
    <w:link w:val="Bodytext"/>
    <w:rsid w:val="00410B82"/>
    <w:pPr>
      <w:widowControl w:val="0"/>
      <w:shd w:val="clear" w:color="auto" w:fill="FFFFFF"/>
      <w:spacing w:before="360" w:line="330" w:lineRule="exact"/>
      <w:jc w:val="both"/>
    </w:pPr>
    <w:rPr>
      <w:rFonts w:eastAsiaTheme="minorHAnsi" w:cstheme="minorBidi"/>
      <w:sz w:val="28"/>
      <w:szCs w:val="28"/>
      <w:lang w:val="en-US" w:eastAsia="en-US"/>
    </w:rPr>
  </w:style>
  <w:style w:type="character" w:customStyle="1" w:styleId="Bodytext4">
    <w:name w:val="Body text (4)_"/>
    <w:link w:val="Bodytext40"/>
    <w:rsid w:val="00410B82"/>
    <w:rPr>
      <w:i/>
      <w:iCs/>
      <w:sz w:val="26"/>
      <w:szCs w:val="26"/>
      <w:shd w:val="clear" w:color="auto" w:fill="FFFFFF"/>
    </w:rPr>
  </w:style>
  <w:style w:type="character" w:customStyle="1" w:styleId="Bodytext4NotItalic">
    <w:name w:val="Body text (4) + Not Italic"/>
    <w:rsid w:val="00410B82"/>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paragraph" w:customStyle="1" w:styleId="Bodytext40">
    <w:name w:val="Body text (4)"/>
    <w:basedOn w:val="Normal"/>
    <w:link w:val="Bodytext4"/>
    <w:rsid w:val="00410B82"/>
    <w:pPr>
      <w:widowControl w:val="0"/>
      <w:shd w:val="clear" w:color="auto" w:fill="FFFFFF"/>
      <w:spacing w:before="120" w:after="300" w:line="0" w:lineRule="atLeast"/>
      <w:jc w:val="both"/>
    </w:pPr>
    <w:rPr>
      <w:rFonts w:eastAsiaTheme="minorHAnsi" w:cstheme="minorBidi"/>
      <w:i/>
      <w:iCs/>
      <w:sz w:val="26"/>
      <w:szCs w:val="26"/>
      <w:lang w:val="en-US" w:eastAsia="en-US"/>
    </w:rPr>
  </w:style>
  <w:style w:type="character" w:customStyle="1" w:styleId="Bodytext6">
    <w:name w:val="Body text (6)_"/>
    <w:link w:val="Bodytext60"/>
    <w:rsid w:val="00410B82"/>
    <w:rPr>
      <w:shd w:val="clear" w:color="auto" w:fill="FFFFFF"/>
    </w:rPr>
  </w:style>
  <w:style w:type="character" w:customStyle="1" w:styleId="Bodytext7">
    <w:name w:val="Body text (7)_"/>
    <w:link w:val="Bodytext70"/>
    <w:rsid w:val="00410B82"/>
    <w:rPr>
      <w:rFonts w:ascii="Trebuchet MS" w:eastAsia="Trebuchet MS" w:hAnsi="Trebuchet MS" w:cs="Trebuchet MS"/>
      <w:sz w:val="21"/>
      <w:szCs w:val="21"/>
      <w:shd w:val="clear" w:color="auto" w:fill="FFFFFF"/>
    </w:rPr>
  </w:style>
  <w:style w:type="paragraph" w:customStyle="1" w:styleId="Bodytext60">
    <w:name w:val="Body text (6)"/>
    <w:basedOn w:val="Normal"/>
    <w:link w:val="Bodytext6"/>
    <w:rsid w:val="00410B82"/>
    <w:pPr>
      <w:widowControl w:val="0"/>
      <w:shd w:val="clear" w:color="auto" w:fill="FFFFFF"/>
      <w:spacing w:line="254" w:lineRule="exact"/>
      <w:jc w:val="both"/>
    </w:pPr>
    <w:rPr>
      <w:rFonts w:eastAsiaTheme="minorHAnsi" w:cstheme="minorBidi"/>
      <w:sz w:val="28"/>
      <w:szCs w:val="22"/>
      <w:lang w:val="en-US" w:eastAsia="en-US"/>
    </w:rPr>
  </w:style>
  <w:style w:type="paragraph" w:customStyle="1" w:styleId="Bodytext70">
    <w:name w:val="Body text (7)"/>
    <w:basedOn w:val="Normal"/>
    <w:link w:val="Bodytext7"/>
    <w:rsid w:val="00410B82"/>
    <w:pPr>
      <w:widowControl w:val="0"/>
      <w:shd w:val="clear" w:color="auto" w:fill="FFFFFF"/>
      <w:spacing w:line="254" w:lineRule="exact"/>
      <w:jc w:val="both"/>
    </w:pPr>
    <w:rPr>
      <w:rFonts w:ascii="Trebuchet MS" w:eastAsia="Trebuchet MS" w:hAnsi="Trebuchet MS" w:cs="Trebuchet MS"/>
      <w:sz w:val="21"/>
      <w:szCs w:val="21"/>
      <w:lang w:val="en-US" w:eastAsia="en-US"/>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Char Char1 Char"/>
    <w:link w:val="NormalWeb"/>
    <w:uiPriority w:val="99"/>
    <w:locked/>
    <w:rsid w:val="00410B82"/>
    <w:rPr>
      <w:rFonts w:eastAsia="Times New Roman" w:cs="Times New Roman"/>
      <w:sz w:val="24"/>
      <w:szCs w:val="24"/>
    </w:rPr>
  </w:style>
  <w:style w:type="paragraph" w:styleId="Header">
    <w:name w:val="header"/>
    <w:basedOn w:val="Normal"/>
    <w:link w:val="HeaderChar"/>
    <w:uiPriority w:val="99"/>
    <w:rsid w:val="00410B82"/>
    <w:pPr>
      <w:tabs>
        <w:tab w:val="center" w:pos="4680"/>
        <w:tab w:val="right" w:pos="9360"/>
      </w:tabs>
    </w:pPr>
  </w:style>
  <w:style w:type="character" w:customStyle="1" w:styleId="HeaderChar">
    <w:name w:val="Header Char"/>
    <w:basedOn w:val="DefaultParagraphFont"/>
    <w:link w:val="Header"/>
    <w:uiPriority w:val="99"/>
    <w:rsid w:val="00410B82"/>
    <w:rPr>
      <w:rFonts w:eastAsia="Times New Roman" w:cs="Times New Roman"/>
      <w:sz w:val="24"/>
      <w:szCs w:val="24"/>
      <w:lang w:val="vi-VN" w:eastAsia="vi-VN"/>
    </w:rPr>
  </w:style>
  <w:style w:type="character" w:customStyle="1" w:styleId="Bodytext3">
    <w:name w:val="Body text (3)_"/>
    <w:link w:val="Bodytext30"/>
    <w:rsid w:val="00410B82"/>
    <w:rPr>
      <w:b/>
      <w:bCs/>
      <w:szCs w:val="28"/>
      <w:shd w:val="clear" w:color="auto" w:fill="FFFFFF"/>
    </w:rPr>
  </w:style>
  <w:style w:type="paragraph" w:customStyle="1" w:styleId="Bodytext30">
    <w:name w:val="Body text (3)"/>
    <w:basedOn w:val="Normal"/>
    <w:link w:val="Bodytext3"/>
    <w:rsid w:val="00410B82"/>
    <w:pPr>
      <w:widowControl w:val="0"/>
      <w:shd w:val="clear" w:color="auto" w:fill="FFFFFF"/>
      <w:spacing w:before="480" w:line="315" w:lineRule="exact"/>
      <w:jc w:val="center"/>
    </w:pPr>
    <w:rPr>
      <w:rFonts w:eastAsiaTheme="minorHAnsi" w:cstheme="minorBidi"/>
      <w:b/>
      <w:bCs/>
      <w:sz w:val="28"/>
      <w:szCs w:val="28"/>
      <w:lang w:val="en-US" w:eastAsia="en-US"/>
    </w:rPr>
  </w:style>
  <w:style w:type="paragraph" w:styleId="BodyTextIndent">
    <w:name w:val="Body Text Indent"/>
    <w:basedOn w:val="Normal"/>
    <w:link w:val="BodyTextIndentChar"/>
    <w:rsid w:val="00A8699B"/>
    <w:pPr>
      <w:spacing w:after="120"/>
      <w:ind w:left="360"/>
    </w:pPr>
  </w:style>
  <w:style w:type="character" w:customStyle="1" w:styleId="BodyTextIndentChar">
    <w:name w:val="Body Text Indent Char"/>
    <w:basedOn w:val="DefaultParagraphFont"/>
    <w:link w:val="BodyTextIndent"/>
    <w:rsid w:val="00A8699B"/>
    <w:rPr>
      <w:rFonts w:eastAsia="Times New Roman" w:cs="Times New Roman"/>
      <w:sz w:val="24"/>
      <w:szCs w:val="24"/>
      <w:lang w:val="vi-VN" w:eastAsia="vi-VN"/>
    </w:rPr>
  </w:style>
  <w:style w:type="character" w:customStyle="1" w:styleId="BodytextBold">
    <w:name w:val="Body text + Bold"/>
    <w:aliases w:val="Not Italic"/>
    <w:rsid w:val="00A8699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rPr>
  </w:style>
  <w:style w:type="paragraph" w:customStyle="1" w:styleId="BodyText31">
    <w:name w:val="Body Text3"/>
    <w:basedOn w:val="Normal"/>
    <w:rsid w:val="00A8699B"/>
    <w:pPr>
      <w:widowControl w:val="0"/>
      <w:shd w:val="clear" w:color="auto" w:fill="FFFFFF"/>
      <w:spacing w:before="240" w:after="1620" w:line="0" w:lineRule="atLeast"/>
      <w:jc w:val="both"/>
    </w:pPr>
    <w:rPr>
      <w:i/>
      <w:iCs/>
      <w:color w:val="000000"/>
      <w:sz w:val="26"/>
      <w:szCs w:val="26"/>
      <w:lang w:eastAsia="en-US"/>
    </w:rPr>
  </w:style>
  <w:style w:type="paragraph" w:styleId="BodyTextIndent2">
    <w:name w:val="Body Text Indent 2"/>
    <w:basedOn w:val="Normal"/>
    <w:link w:val="BodyTextIndent2Char"/>
    <w:unhideWhenUsed/>
    <w:rsid w:val="00A8699B"/>
    <w:pPr>
      <w:spacing w:after="120" w:line="480" w:lineRule="auto"/>
      <w:ind w:left="360"/>
    </w:pPr>
    <w:rPr>
      <w:lang w:val="en-US" w:eastAsia="en-US"/>
    </w:rPr>
  </w:style>
  <w:style w:type="character" w:customStyle="1" w:styleId="BodyTextIndent2Char">
    <w:name w:val="Body Text Indent 2 Char"/>
    <w:basedOn w:val="DefaultParagraphFont"/>
    <w:link w:val="BodyTextIndent2"/>
    <w:rsid w:val="00A8699B"/>
    <w:rPr>
      <w:rFonts w:eastAsia="Times New Roman" w:cs="Times New Roman"/>
      <w:sz w:val="24"/>
      <w:szCs w:val="24"/>
    </w:rPr>
  </w:style>
  <w:style w:type="paragraph" w:styleId="ListParagraph">
    <w:name w:val="List Paragraph"/>
    <w:basedOn w:val="Normal"/>
    <w:uiPriority w:val="34"/>
    <w:qFormat/>
    <w:rsid w:val="00196715"/>
    <w:pPr>
      <w:ind w:left="720"/>
      <w:contextualSpacing/>
    </w:pPr>
  </w:style>
  <w:style w:type="paragraph" w:styleId="NoSpacing">
    <w:name w:val="No Spacing"/>
    <w:uiPriority w:val="1"/>
    <w:qFormat/>
    <w:rsid w:val="008446B8"/>
    <w:pPr>
      <w:spacing w:after="0" w:line="240" w:lineRule="auto"/>
    </w:pPr>
    <w:rPr>
      <w:rFonts w:eastAsia="Calibri" w:cs="Times New Roman"/>
      <w:sz w:val="24"/>
    </w:rPr>
  </w:style>
  <w:style w:type="table" w:styleId="TableGrid">
    <w:name w:val="Table Grid"/>
    <w:basedOn w:val="TableNormal"/>
    <w:rsid w:val="00EA720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46F6D"/>
    <w:pPr>
      <w:spacing w:before="100" w:beforeAutospacing="1" w:after="100" w:afterAutospacing="1"/>
    </w:pPr>
    <w:rPr>
      <w:lang w:val="en-US" w:eastAsia="en-US"/>
    </w:rPr>
  </w:style>
  <w:style w:type="paragraph" w:styleId="Footer">
    <w:name w:val="footer"/>
    <w:basedOn w:val="Normal"/>
    <w:link w:val="FooterChar"/>
    <w:uiPriority w:val="99"/>
    <w:unhideWhenUsed/>
    <w:rsid w:val="00326D65"/>
    <w:pPr>
      <w:tabs>
        <w:tab w:val="center" w:pos="4680"/>
        <w:tab w:val="right" w:pos="9360"/>
      </w:tabs>
    </w:pPr>
  </w:style>
  <w:style w:type="character" w:customStyle="1" w:styleId="FooterChar">
    <w:name w:val="Footer Char"/>
    <w:basedOn w:val="DefaultParagraphFont"/>
    <w:link w:val="Footer"/>
    <w:uiPriority w:val="99"/>
    <w:rsid w:val="00326D65"/>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326D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D65"/>
    <w:rPr>
      <w:rFonts w:ascii="Segoe UI" w:eastAsia="Times New Roman" w:hAnsi="Segoe UI" w:cs="Segoe UI"/>
      <w:sz w:val="18"/>
      <w:szCs w:val="18"/>
      <w:lang w:val="vi-VN" w:eastAsia="vi-VN"/>
    </w:rPr>
  </w:style>
  <w:style w:type="character" w:styleId="Hyperlink">
    <w:name w:val="Hyperlink"/>
    <w:basedOn w:val="DefaultParagraphFont"/>
    <w:uiPriority w:val="99"/>
    <w:semiHidden/>
    <w:unhideWhenUsed/>
    <w:rsid w:val="004D0F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498662">
      <w:bodyDiv w:val="1"/>
      <w:marLeft w:val="0"/>
      <w:marRight w:val="0"/>
      <w:marTop w:val="0"/>
      <w:marBottom w:val="0"/>
      <w:divBdr>
        <w:top w:val="none" w:sz="0" w:space="0" w:color="auto"/>
        <w:left w:val="none" w:sz="0" w:space="0" w:color="auto"/>
        <w:bottom w:val="none" w:sz="0" w:space="0" w:color="auto"/>
        <w:right w:val="none" w:sz="0" w:space="0" w:color="auto"/>
      </w:divBdr>
    </w:div>
    <w:div w:id="836848849">
      <w:bodyDiv w:val="1"/>
      <w:marLeft w:val="0"/>
      <w:marRight w:val="0"/>
      <w:marTop w:val="0"/>
      <w:marBottom w:val="0"/>
      <w:divBdr>
        <w:top w:val="none" w:sz="0" w:space="0" w:color="auto"/>
        <w:left w:val="none" w:sz="0" w:space="0" w:color="auto"/>
        <w:bottom w:val="none" w:sz="0" w:space="0" w:color="auto"/>
        <w:right w:val="none" w:sz="0" w:space="0" w:color="auto"/>
      </w:divBdr>
    </w:div>
    <w:div w:id="977144566">
      <w:bodyDiv w:val="1"/>
      <w:marLeft w:val="0"/>
      <w:marRight w:val="0"/>
      <w:marTop w:val="0"/>
      <w:marBottom w:val="0"/>
      <w:divBdr>
        <w:top w:val="none" w:sz="0" w:space="0" w:color="auto"/>
        <w:left w:val="none" w:sz="0" w:space="0" w:color="auto"/>
        <w:bottom w:val="none" w:sz="0" w:space="0" w:color="auto"/>
        <w:right w:val="none" w:sz="0" w:space="0" w:color="auto"/>
      </w:divBdr>
    </w:div>
    <w:div w:id="1104378340">
      <w:bodyDiv w:val="1"/>
      <w:marLeft w:val="0"/>
      <w:marRight w:val="0"/>
      <w:marTop w:val="0"/>
      <w:marBottom w:val="0"/>
      <w:divBdr>
        <w:top w:val="none" w:sz="0" w:space="0" w:color="auto"/>
        <w:left w:val="none" w:sz="0" w:space="0" w:color="auto"/>
        <w:bottom w:val="none" w:sz="0" w:space="0" w:color="auto"/>
        <w:right w:val="none" w:sz="0" w:space="0" w:color="auto"/>
      </w:divBdr>
    </w:div>
    <w:div w:id="15030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nghi-dinh-78-2002-nd-cp-tin-dung-nguoi-ngheo-doi-tuong-chinh-sach-khac-50057.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Linh-vuc-khac/Luat-Thi-dua-Khen-thuong-2022-418232.aspx" TargetMode="External"/><Relationship Id="rId5" Type="http://schemas.openxmlformats.org/officeDocument/2006/relationships/webSettings" Target="webSettings.xml"/><Relationship Id="rId10" Type="http://schemas.openxmlformats.org/officeDocument/2006/relationships/hyperlink" Target="https://thuvienphapluat.vn/van-ban/tien-te-ngan-hang/thong-tu-11-2017-tt-btc-von-ngan-sach-dia-phuong-uy-thac-qua-ngan-hang-chinh-sach-cho-vay-nguoi-ngheo-340394.aspx" TargetMode="External"/><Relationship Id="rId4" Type="http://schemas.openxmlformats.org/officeDocument/2006/relationships/settings" Target="settings.xml"/><Relationship Id="rId9" Type="http://schemas.openxmlformats.org/officeDocument/2006/relationships/hyperlink" Target="https://thuvienphapluat.vn/van-ban/tien-te-ngan-hang/thong-tu-11-2017-tt-btc-von-ngan-sach-dia-phuong-uy-thac-qua-ngan-hang-chinh-sach-cho-vay-nguoi-ngheo-340394.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3DA82-F4D9-4590-B09B-B9A36B65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10</Pages>
  <Words>3381</Words>
  <Characters>19275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nguyenhoahue</dc:creator>
  <cp:keywords/>
  <dc:description/>
  <cp:lastModifiedBy>nguyenhoahue</cp:lastModifiedBy>
  <cp:revision>246</cp:revision>
  <cp:lastPrinted>2026-01-28T07:15:00Z</cp:lastPrinted>
  <dcterms:created xsi:type="dcterms:W3CDTF">2025-12-25T03:33:00Z</dcterms:created>
  <dcterms:modified xsi:type="dcterms:W3CDTF">2026-01-29T00:53:00Z</dcterms:modified>
</cp:coreProperties>
</file>