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9" w:type="pct"/>
        <w:tblLook w:val="01E0" w:firstRow="1" w:lastRow="1" w:firstColumn="1" w:lastColumn="1" w:noHBand="0" w:noVBand="0"/>
      </w:tblPr>
      <w:tblGrid>
        <w:gridCol w:w="4468"/>
        <w:gridCol w:w="6746"/>
      </w:tblGrid>
      <w:tr w:rsidR="00B625EE" w:rsidRPr="00B625EE" w14:paraId="1D29C1C0" w14:textId="77777777" w:rsidTr="00E97E77">
        <w:trPr>
          <w:trHeight w:val="713"/>
        </w:trPr>
        <w:tc>
          <w:tcPr>
            <w:tcW w:w="1992" w:type="pct"/>
          </w:tcPr>
          <w:p w14:paraId="1ABBA421" w14:textId="2EA6D94A" w:rsidR="006D3EF7" w:rsidRPr="00B625EE" w:rsidRDefault="006D3EF7" w:rsidP="00CB3F93">
            <w:pPr>
              <w:jc w:val="center"/>
              <w:textAlignment w:val="baseline"/>
              <w:rPr>
                <w:color w:val="000000" w:themeColor="text1"/>
                <w:szCs w:val="28"/>
                <w:bdr w:val="none" w:sz="0" w:space="0" w:color="auto" w:frame="1"/>
              </w:rPr>
            </w:pPr>
            <w:r w:rsidRPr="00B625EE">
              <w:rPr>
                <w:color w:val="000000" w:themeColor="text1"/>
                <w:szCs w:val="28"/>
                <w:bdr w:val="none" w:sz="0" w:space="0" w:color="auto" w:frame="1"/>
              </w:rPr>
              <w:t xml:space="preserve">UBND TỈNH </w:t>
            </w:r>
            <w:r w:rsidR="002A002E" w:rsidRPr="00B625EE">
              <w:rPr>
                <w:color w:val="000000" w:themeColor="text1"/>
                <w:szCs w:val="28"/>
                <w:bdr w:val="none" w:sz="0" w:space="0" w:color="auto" w:frame="1"/>
              </w:rPr>
              <w:t>TUYÊN QU</w:t>
            </w:r>
            <w:r w:rsidRPr="00B625EE">
              <w:rPr>
                <w:color w:val="000000" w:themeColor="text1"/>
                <w:szCs w:val="28"/>
                <w:bdr w:val="none" w:sz="0" w:space="0" w:color="auto" w:frame="1"/>
              </w:rPr>
              <w:t>ANG</w:t>
            </w:r>
          </w:p>
          <w:p w14:paraId="2B9446F4" w14:textId="47042BF2" w:rsidR="006D3EF7" w:rsidRPr="00B625EE" w:rsidRDefault="006D3EF7" w:rsidP="00CB3F93">
            <w:pPr>
              <w:jc w:val="center"/>
              <w:textAlignment w:val="baseline"/>
              <w:rPr>
                <w:b/>
                <w:color w:val="000000" w:themeColor="text1"/>
                <w:szCs w:val="28"/>
                <w:bdr w:val="none" w:sz="0" w:space="0" w:color="auto" w:frame="1"/>
              </w:rPr>
            </w:pPr>
            <w:r w:rsidRPr="00B625EE">
              <w:rPr>
                <w:b/>
                <w:color w:val="000000" w:themeColor="text1"/>
                <w:szCs w:val="28"/>
                <w:bdr w:val="none" w:sz="0" w:space="0" w:color="auto" w:frame="1"/>
              </w:rPr>
              <w:t xml:space="preserve">SỞ </w:t>
            </w:r>
            <w:r w:rsidR="0076217A" w:rsidRPr="00B625EE">
              <w:rPr>
                <w:b/>
                <w:color w:val="000000" w:themeColor="text1"/>
                <w:szCs w:val="28"/>
                <w:bdr w:val="none" w:sz="0" w:space="0" w:color="auto" w:frame="1"/>
              </w:rPr>
              <w:t>TÀI CHÍNH</w:t>
            </w:r>
          </w:p>
          <w:p w14:paraId="7272C49F" w14:textId="77777777" w:rsidR="006D3EF7" w:rsidRPr="00B625EE" w:rsidRDefault="006D3EF7" w:rsidP="00CB3F93">
            <w:pPr>
              <w:jc w:val="center"/>
              <w:textAlignment w:val="baseline"/>
              <w:rPr>
                <w:b/>
                <w:color w:val="000000" w:themeColor="text1"/>
                <w:szCs w:val="28"/>
                <w:bdr w:val="none" w:sz="0" w:space="0" w:color="auto" w:frame="1"/>
              </w:rPr>
            </w:pPr>
            <w:r w:rsidRPr="00B625EE">
              <w:rPr>
                <w:b/>
                <w:noProof/>
                <w:color w:val="000000" w:themeColor="text1"/>
                <w:szCs w:val="28"/>
              </w:rPr>
              <mc:AlternateContent>
                <mc:Choice Requires="wps">
                  <w:drawing>
                    <wp:anchor distT="0" distB="0" distL="114300" distR="114300" simplePos="0" relativeHeight="251656704" behindDoc="0" locked="0" layoutInCell="1" allowOverlap="1" wp14:anchorId="2BD80139" wp14:editId="611B3684">
                      <wp:simplePos x="0" y="0"/>
                      <wp:positionH relativeFrom="column">
                        <wp:posOffset>982345</wp:posOffset>
                      </wp:positionH>
                      <wp:positionV relativeFrom="paragraph">
                        <wp:posOffset>75565</wp:posOffset>
                      </wp:positionV>
                      <wp:extent cx="685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B13CE"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5.95pt" to="131.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w5tAEAALYDAAAOAAAAZHJzL2Uyb0RvYy54bWysU8GOEzEMvSPxD1HudKaVWF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" strokecolor="black [3200]" strokeweight=".5pt">
                      <v:stroke joinstyle="miter"/>
                    </v:line>
                  </w:pict>
                </mc:Fallback>
              </mc:AlternateContent>
            </w:r>
          </w:p>
          <w:p w14:paraId="64F00EEE" w14:textId="4FC7E494" w:rsidR="006D3EF7" w:rsidRPr="00B625EE" w:rsidRDefault="006D3EF7" w:rsidP="00CB3F93">
            <w:pPr>
              <w:jc w:val="center"/>
              <w:rPr>
                <w:rFonts w:ascii="Arial" w:hAnsi="Arial" w:cs="Arial"/>
                <w:b/>
                <w:color w:val="000000" w:themeColor="text1"/>
                <w:szCs w:val="28"/>
              </w:rPr>
            </w:pPr>
          </w:p>
        </w:tc>
        <w:tc>
          <w:tcPr>
            <w:tcW w:w="3008" w:type="pct"/>
          </w:tcPr>
          <w:p w14:paraId="33D626C8" w14:textId="77777777" w:rsidR="006D3EF7" w:rsidRPr="00B625EE" w:rsidRDefault="006D3EF7" w:rsidP="00CB3F93">
            <w:pPr>
              <w:jc w:val="center"/>
              <w:textAlignment w:val="baseline"/>
              <w:rPr>
                <w:b/>
                <w:bCs/>
                <w:color w:val="000000" w:themeColor="text1"/>
                <w:szCs w:val="28"/>
                <w:bdr w:val="none" w:sz="0" w:space="0" w:color="auto" w:frame="1"/>
              </w:rPr>
            </w:pPr>
            <w:r w:rsidRPr="00B625EE">
              <w:rPr>
                <w:b/>
                <w:bCs/>
                <w:color w:val="000000" w:themeColor="text1"/>
                <w:szCs w:val="28"/>
                <w:bdr w:val="none" w:sz="0" w:space="0" w:color="auto" w:frame="1"/>
              </w:rPr>
              <w:t>CỘNG HÒA XÃ HỘI CHỦ NGHĨA VIỆT NAM</w:t>
            </w:r>
            <w:r w:rsidRPr="00B625EE">
              <w:rPr>
                <w:b/>
                <w:bCs/>
                <w:color w:val="000000" w:themeColor="text1"/>
                <w:szCs w:val="28"/>
                <w:bdr w:val="none" w:sz="0" w:space="0" w:color="auto" w:frame="1"/>
              </w:rPr>
              <w:br/>
              <w:t>Độc lập - Tự do - Hạnh phúc</w:t>
            </w:r>
          </w:p>
          <w:p w14:paraId="6879A131" w14:textId="2A82113A" w:rsidR="006D3EF7" w:rsidRPr="00B625EE" w:rsidRDefault="006D3EF7" w:rsidP="00CB3F93">
            <w:pPr>
              <w:jc w:val="center"/>
              <w:textAlignment w:val="baseline"/>
              <w:rPr>
                <w:color w:val="000000" w:themeColor="text1"/>
                <w:szCs w:val="28"/>
                <w:bdr w:val="none" w:sz="0" w:space="0" w:color="auto" w:frame="1"/>
              </w:rPr>
            </w:pPr>
            <w:r w:rsidRPr="00B625EE">
              <w:rPr>
                <w:noProof/>
                <w:color w:val="000000" w:themeColor="text1"/>
                <w:szCs w:val="28"/>
              </w:rPr>
              <mc:AlternateContent>
                <mc:Choice Requires="wps">
                  <w:drawing>
                    <wp:anchor distT="0" distB="0" distL="114300" distR="114300" simplePos="0" relativeHeight="251670016" behindDoc="0" locked="0" layoutInCell="1" allowOverlap="1" wp14:anchorId="4B789975" wp14:editId="0BD6902B">
                      <wp:simplePos x="0" y="0"/>
                      <wp:positionH relativeFrom="column">
                        <wp:posOffset>897890</wp:posOffset>
                      </wp:positionH>
                      <wp:positionV relativeFrom="paragraph">
                        <wp:posOffset>72390</wp:posOffset>
                      </wp:positionV>
                      <wp:extent cx="2209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15D2C" id="Straight Connector 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5.7pt" to="24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SmtQEAALcDAAAOAAAAZHJzL2Uyb0RvYy54bWysU8GOEzEMvSPxD1HudKZdCS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" strokecolor="black [3200]" strokeweight=".5pt">
                      <v:stroke joinstyle="miter"/>
                    </v:line>
                  </w:pict>
                </mc:Fallback>
              </mc:AlternateContent>
            </w:r>
          </w:p>
        </w:tc>
      </w:tr>
      <w:tr w:rsidR="00B625EE" w:rsidRPr="00B625EE" w14:paraId="629DA882" w14:textId="77777777" w:rsidTr="009A5B93">
        <w:trPr>
          <w:trHeight w:val="73"/>
        </w:trPr>
        <w:tc>
          <w:tcPr>
            <w:tcW w:w="1992" w:type="pct"/>
          </w:tcPr>
          <w:p w14:paraId="65FA9A45" w14:textId="204F0BD2" w:rsidR="006D3EF7" w:rsidRPr="00B625EE" w:rsidRDefault="006D3EF7" w:rsidP="006D3EF7">
            <w:pPr>
              <w:spacing w:before="120"/>
              <w:jc w:val="center"/>
              <w:rPr>
                <w:rFonts w:ascii="Arial" w:hAnsi="Arial" w:cs="Arial"/>
                <w:color w:val="000000" w:themeColor="text1"/>
                <w:sz w:val="20"/>
              </w:rPr>
            </w:pPr>
          </w:p>
        </w:tc>
        <w:tc>
          <w:tcPr>
            <w:tcW w:w="3008" w:type="pct"/>
          </w:tcPr>
          <w:p w14:paraId="59FD39C2" w14:textId="12CB6785" w:rsidR="006D3EF7" w:rsidRPr="00B625EE" w:rsidRDefault="006D3EF7" w:rsidP="006D3EF7">
            <w:pPr>
              <w:spacing w:before="120"/>
              <w:jc w:val="right"/>
              <w:rPr>
                <w:rFonts w:ascii="Arial" w:hAnsi="Arial" w:cs="Arial"/>
                <w:i/>
                <w:color w:val="000000" w:themeColor="text1"/>
                <w:sz w:val="20"/>
              </w:rPr>
            </w:pPr>
          </w:p>
        </w:tc>
      </w:tr>
    </w:tbl>
    <w:p w14:paraId="16F2FCA9" w14:textId="77777777" w:rsidR="00D0797A" w:rsidRDefault="00DC208E" w:rsidP="00D0797A">
      <w:pPr>
        <w:jc w:val="center"/>
        <w:rPr>
          <w:rFonts w:cs="Times New Roman"/>
          <w:b/>
          <w:bCs/>
          <w:color w:val="000000" w:themeColor="text1"/>
          <w:spacing w:val="-6"/>
          <w:szCs w:val="28"/>
        </w:rPr>
      </w:pPr>
      <w:r w:rsidRPr="00D0797A">
        <w:rPr>
          <w:rFonts w:cs="Times New Roman"/>
          <w:b/>
          <w:bCs/>
          <w:color w:val="000000" w:themeColor="text1"/>
          <w:spacing w:val="-6"/>
          <w:szCs w:val="28"/>
        </w:rPr>
        <w:t xml:space="preserve">BẢN </w:t>
      </w:r>
      <w:r w:rsidR="0076217A" w:rsidRPr="00D0797A">
        <w:rPr>
          <w:rFonts w:cs="Times New Roman"/>
          <w:b/>
          <w:bCs/>
          <w:color w:val="000000" w:themeColor="text1"/>
          <w:spacing w:val="-6"/>
          <w:szCs w:val="28"/>
        </w:rPr>
        <w:t xml:space="preserve">SO SÁNH, </w:t>
      </w:r>
      <w:r w:rsidRPr="00D0797A">
        <w:rPr>
          <w:rFonts w:cs="Times New Roman"/>
          <w:b/>
          <w:bCs/>
          <w:color w:val="000000" w:themeColor="text1"/>
          <w:spacing w:val="-6"/>
          <w:szCs w:val="28"/>
        </w:rPr>
        <w:t>THUYẾT MINH NỘI DUNG DỰ THẢO</w:t>
      </w:r>
      <w:r w:rsidR="006D3EF7" w:rsidRPr="00D0797A">
        <w:rPr>
          <w:rFonts w:cs="Times New Roman"/>
          <w:b/>
          <w:bCs/>
          <w:color w:val="000000" w:themeColor="text1"/>
          <w:spacing w:val="-6"/>
          <w:szCs w:val="28"/>
        </w:rPr>
        <w:t xml:space="preserve"> QUYẾT ĐỊNH </w:t>
      </w:r>
      <w:r w:rsidR="0076217A" w:rsidRPr="00D0797A">
        <w:rPr>
          <w:rFonts w:cs="Times New Roman"/>
          <w:b/>
          <w:bCs/>
          <w:color w:val="000000" w:themeColor="text1"/>
          <w:spacing w:val="-6"/>
          <w:szCs w:val="28"/>
        </w:rPr>
        <w:t>CỦA</w:t>
      </w:r>
      <w:r w:rsidR="00D0797A" w:rsidRPr="00D0797A">
        <w:rPr>
          <w:rFonts w:cs="Times New Roman"/>
          <w:b/>
          <w:bCs/>
          <w:color w:val="000000" w:themeColor="text1"/>
          <w:spacing w:val="-6"/>
          <w:szCs w:val="28"/>
        </w:rPr>
        <w:t xml:space="preserve"> CHỦ TỊCH</w:t>
      </w:r>
      <w:r w:rsidR="0076217A" w:rsidRPr="00D0797A">
        <w:rPr>
          <w:rFonts w:cs="Times New Roman"/>
          <w:b/>
          <w:bCs/>
          <w:color w:val="000000" w:themeColor="text1"/>
          <w:spacing w:val="-6"/>
          <w:szCs w:val="28"/>
        </w:rPr>
        <w:t xml:space="preserve"> ỦY BAN NHÂN DÂN TỈNH </w:t>
      </w:r>
      <w:r w:rsidR="000F5CCD" w:rsidRPr="00D0797A">
        <w:rPr>
          <w:rFonts w:cs="Times New Roman"/>
          <w:b/>
          <w:bCs/>
          <w:color w:val="000000" w:themeColor="text1"/>
          <w:spacing w:val="-6"/>
          <w:szCs w:val="28"/>
        </w:rPr>
        <w:t>QUY ĐỊNH DANH MỤC, THỜI GIAN</w:t>
      </w:r>
      <w:r w:rsidR="00D0797A" w:rsidRPr="00D0797A">
        <w:rPr>
          <w:rFonts w:cs="Times New Roman"/>
          <w:b/>
          <w:bCs/>
          <w:color w:val="000000" w:themeColor="text1"/>
          <w:spacing w:val="-6"/>
          <w:szCs w:val="28"/>
        </w:rPr>
        <w:t xml:space="preserve"> SỬ DỤNG ĐỂ</w:t>
      </w:r>
      <w:r w:rsidR="000F5CCD" w:rsidRPr="00D0797A">
        <w:rPr>
          <w:rFonts w:cs="Times New Roman"/>
          <w:b/>
          <w:bCs/>
          <w:color w:val="000000" w:themeColor="text1"/>
          <w:spacing w:val="-6"/>
          <w:szCs w:val="28"/>
        </w:rPr>
        <w:t xml:space="preserve"> TÍNH HAO MÒN VÀ TỶ LỆ</w:t>
      </w:r>
      <w:r w:rsidR="00B625EE" w:rsidRPr="00D0797A">
        <w:rPr>
          <w:rFonts w:cs="Times New Roman"/>
          <w:b/>
          <w:bCs/>
          <w:color w:val="000000" w:themeColor="text1"/>
          <w:spacing w:val="-6"/>
          <w:szCs w:val="28"/>
        </w:rPr>
        <w:t xml:space="preserve"> HAO MÒ</w:t>
      </w:r>
      <w:r w:rsidR="000F5CCD" w:rsidRPr="00D0797A">
        <w:rPr>
          <w:rFonts w:cs="Times New Roman"/>
          <w:b/>
          <w:bCs/>
          <w:color w:val="000000" w:themeColor="text1"/>
          <w:spacing w:val="-6"/>
          <w:szCs w:val="28"/>
        </w:rPr>
        <w:t xml:space="preserve">N TÀI SẢN CỐ ĐỊNH VÔ HÌNH; DANH MỤC </w:t>
      </w:r>
    </w:p>
    <w:p w14:paraId="09BC066E" w14:textId="77777777" w:rsidR="00D0797A" w:rsidRDefault="000F5CCD" w:rsidP="00D0797A">
      <w:pPr>
        <w:jc w:val="center"/>
        <w:rPr>
          <w:rFonts w:cs="Times New Roman"/>
          <w:b/>
          <w:bCs/>
          <w:color w:val="000000" w:themeColor="text1"/>
          <w:spacing w:val="-6"/>
          <w:szCs w:val="28"/>
        </w:rPr>
      </w:pPr>
      <w:r w:rsidRPr="00D0797A">
        <w:rPr>
          <w:rFonts w:cs="Times New Roman"/>
          <w:b/>
          <w:bCs/>
          <w:color w:val="000000" w:themeColor="text1"/>
          <w:spacing w:val="-6"/>
          <w:szCs w:val="28"/>
        </w:rPr>
        <w:t>TÀI SẢN CỐ ĐỊNH ĐẶC THÙ THUỘC PHẠM VI QUẢN LÝ TRÊN</w:t>
      </w:r>
      <w:r w:rsidR="0076217A" w:rsidRPr="00D0797A">
        <w:rPr>
          <w:rFonts w:cs="Times New Roman"/>
          <w:b/>
          <w:bCs/>
          <w:color w:val="000000" w:themeColor="text1"/>
          <w:spacing w:val="-6"/>
          <w:szCs w:val="28"/>
        </w:rPr>
        <w:t xml:space="preserve"> </w:t>
      </w:r>
    </w:p>
    <w:p w14:paraId="3FA6B7F1" w14:textId="02D39306" w:rsidR="00087FFB" w:rsidRPr="00D0797A" w:rsidRDefault="0076217A" w:rsidP="00D0797A">
      <w:pPr>
        <w:jc w:val="center"/>
        <w:rPr>
          <w:rFonts w:cs="Times New Roman"/>
          <w:b/>
          <w:bCs/>
          <w:color w:val="000000" w:themeColor="text1"/>
          <w:spacing w:val="-6"/>
          <w:szCs w:val="28"/>
        </w:rPr>
      </w:pPr>
      <w:r w:rsidRPr="00D0797A">
        <w:rPr>
          <w:rFonts w:cs="Times New Roman"/>
          <w:b/>
          <w:bCs/>
          <w:color w:val="000000" w:themeColor="text1"/>
          <w:spacing w:val="-6"/>
          <w:szCs w:val="28"/>
        </w:rPr>
        <w:t>ĐỊA BÀN TỈNH TUYÊN QUANG</w:t>
      </w:r>
    </w:p>
    <w:p w14:paraId="6D04671B" w14:textId="77777777" w:rsidR="001B42C8" w:rsidRPr="00B625EE" w:rsidRDefault="001B42C8" w:rsidP="00CB3F93">
      <w:pPr>
        <w:spacing w:after="120"/>
        <w:jc w:val="center"/>
        <w:rPr>
          <w:rFonts w:cs="Times New Roman"/>
          <w:b/>
          <w:bCs/>
          <w:color w:val="000000" w:themeColor="text1"/>
          <w:szCs w:val="28"/>
        </w:rPr>
      </w:pPr>
    </w:p>
    <w:tbl>
      <w:tblPr>
        <w:tblOverlap w:val="never"/>
        <w:tblW w:w="506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174"/>
        <w:gridCol w:w="5601"/>
      </w:tblGrid>
      <w:tr w:rsidR="00B625EE" w:rsidRPr="00B625EE" w14:paraId="0DF886A1" w14:textId="77777777" w:rsidTr="001C3AE2">
        <w:trPr>
          <w:tblHeader/>
        </w:trPr>
        <w:tc>
          <w:tcPr>
            <w:tcW w:w="2401" w:type="pct"/>
            <w:shd w:val="clear" w:color="auto" w:fill="FFFFFF"/>
          </w:tcPr>
          <w:p w14:paraId="23A03C35" w14:textId="77777777" w:rsidR="00DC208E" w:rsidRPr="00B625EE" w:rsidRDefault="00DC208E" w:rsidP="00725DF5">
            <w:pPr>
              <w:spacing w:before="60" w:after="60"/>
              <w:jc w:val="center"/>
              <w:rPr>
                <w:rFonts w:cs="Times New Roman"/>
                <w:b/>
                <w:bCs/>
                <w:color w:val="000000" w:themeColor="text1"/>
                <w:sz w:val="26"/>
                <w:szCs w:val="26"/>
              </w:rPr>
            </w:pPr>
            <w:r w:rsidRPr="00B625EE">
              <w:rPr>
                <w:rFonts w:cs="Times New Roman"/>
                <w:b/>
                <w:bCs/>
                <w:color w:val="000000" w:themeColor="text1"/>
                <w:sz w:val="26"/>
                <w:szCs w:val="26"/>
              </w:rPr>
              <w:t>DỰ THẢO VĂN BẢN</w:t>
            </w:r>
          </w:p>
        </w:tc>
        <w:tc>
          <w:tcPr>
            <w:tcW w:w="2599" w:type="pct"/>
            <w:shd w:val="clear" w:color="auto" w:fill="FFFFFF"/>
          </w:tcPr>
          <w:p w14:paraId="553283D6" w14:textId="77777777" w:rsidR="00DC208E" w:rsidRPr="00B625EE" w:rsidRDefault="00DC208E" w:rsidP="00725DF5">
            <w:pPr>
              <w:spacing w:before="60" w:after="60"/>
              <w:jc w:val="center"/>
              <w:rPr>
                <w:rFonts w:cs="Times New Roman"/>
                <w:b/>
                <w:bCs/>
                <w:color w:val="000000" w:themeColor="text1"/>
                <w:sz w:val="26"/>
                <w:szCs w:val="26"/>
              </w:rPr>
            </w:pPr>
            <w:r w:rsidRPr="00B625EE">
              <w:rPr>
                <w:rFonts w:cs="Times New Roman"/>
                <w:b/>
                <w:bCs/>
                <w:color w:val="000000" w:themeColor="text1"/>
                <w:sz w:val="26"/>
                <w:szCs w:val="26"/>
              </w:rPr>
              <w:t>THUYẾT MINH</w:t>
            </w:r>
          </w:p>
        </w:tc>
      </w:tr>
      <w:tr w:rsidR="00B625EE" w:rsidRPr="00B625EE" w14:paraId="5B977BFB" w14:textId="77777777" w:rsidTr="00A47DA8">
        <w:tc>
          <w:tcPr>
            <w:tcW w:w="2401" w:type="pct"/>
            <w:shd w:val="clear" w:color="auto" w:fill="FFFFFF"/>
          </w:tcPr>
          <w:p w14:paraId="5D9BC43D" w14:textId="77777777" w:rsidR="00A47DA8" w:rsidRPr="00B625EE" w:rsidRDefault="00A47DA8" w:rsidP="00B1750B">
            <w:pPr>
              <w:spacing w:before="60" w:after="60"/>
              <w:ind w:left="68" w:right="68" w:firstLine="425"/>
              <w:jc w:val="both"/>
              <w:rPr>
                <w:color w:val="000000" w:themeColor="text1"/>
                <w:sz w:val="24"/>
                <w:szCs w:val="24"/>
              </w:rPr>
            </w:pPr>
            <w:bookmarkStart w:id="0" w:name="dieu_1"/>
            <w:r w:rsidRPr="00B625EE">
              <w:rPr>
                <w:b/>
                <w:bCs/>
                <w:color w:val="000000" w:themeColor="text1"/>
                <w:sz w:val="24"/>
                <w:szCs w:val="24"/>
              </w:rPr>
              <w:t>Điều 1. Phạm vi điều chỉnh, đối tượng áp dụng</w:t>
            </w:r>
            <w:bookmarkEnd w:id="0"/>
          </w:p>
          <w:p w14:paraId="2A29840A" w14:textId="77777777" w:rsidR="00CA74DC" w:rsidRPr="00CA74DC" w:rsidRDefault="00CA74DC" w:rsidP="00CA74DC">
            <w:pPr>
              <w:spacing w:before="60" w:after="60"/>
              <w:ind w:left="68" w:right="68" w:firstLine="425"/>
              <w:jc w:val="both"/>
              <w:rPr>
                <w:color w:val="000000" w:themeColor="text1"/>
                <w:sz w:val="24"/>
                <w:szCs w:val="24"/>
              </w:rPr>
            </w:pPr>
            <w:r w:rsidRPr="00CA74DC">
              <w:rPr>
                <w:color w:val="000000" w:themeColor="text1"/>
                <w:sz w:val="24"/>
                <w:szCs w:val="24"/>
              </w:rPr>
              <w:t>1. Phạm vi điều chỉnh</w:t>
            </w:r>
          </w:p>
          <w:p w14:paraId="15BB2DB5" w14:textId="77777777" w:rsidR="00CA74DC" w:rsidRPr="00CA74DC" w:rsidRDefault="00CA74DC" w:rsidP="00CA74DC">
            <w:pPr>
              <w:spacing w:before="60" w:after="60"/>
              <w:ind w:left="68" w:right="68" w:firstLine="425"/>
              <w:jc w:val="both"/>
              <w:rPr>
                <w:color w:val="000000" w:themeColor="text1"/>
                <w:sz w:val="24"/>
                <w:szCs w:val="24"/>
              </w:rPr>
            </w:pPr>
            <w:r w:rsidRPr="00CA74DC">
              <w:rPr>
                <w:color w:val="000000" w:themeColor="text1"/>
                <w:sz w:val="24"/>
                <w:szCs w:val="24"/>
              </w:rPr>
              <w:t>Quyết định này quy định danh mục, thời gian sử dụng để tính hao mòn và tỷ lệ hao mòn tài sản cố định vô hình; danh mục tài sản cố định đặc thù thuộc phạm vi quản lý trên địa bàn tỉnh Tuyên Quang theo quy định tại điểm c khoản 1 Điều 4, khoản 2 Điều 13 Thông tư số 141/2025/TT-BTC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48D52376" w14:textId="77777777" w:rsidR="00CA74DC" w:rsidRPr="00CA74DC" w:rsidRDefault="00CA74DC" w:rsidP="00CA74DC">
            <w:pPr>
              <w:spacing w:before="60" w:after="60"/>
              <w:ind w:left="68" w:right="68" w:firstLine="425"/>
              <w:jc w:val="both"/>
              <w:rPr>
                <w:color w:val="000000" w:themeColor="text1"/>
                <w:sz w:val="24"/>
                <w:szCs w:val="24"/>
              </w:rPr>
            </w:pPr>
            <w:r w:rsidRPr="00CA74DC">
              <w:rPr>
                <w:color w:val="000000" w:themeColor="text1"/>
                <w:sz w:val="24"/>
                <w:szCs w:val="24"/>
              </w:rPr>
              <w:t>2. Đối tượng áp dụng</w:t>
            </w:r>
          </w:p>
          <w:p w14:paraId="33BE543D" w14:textId="77777777" w:rsidR="00CA74DC" w:rsidRPr="00CA74DC" w:rsidRDefault="00CA74DC" w:rsidP="00CA74DC">
            <w:pPr>
              <w:spacing w:before="60" w:after="60"/>
              <w:ind w:left="68" w:right="68" w:firstLine="425"/>
              <w:jc w:val="both"/>
              <w:rPr>
                <w:color w:val="000000" w:themeColor="text1"/>
                <w:sz w:val="24"/>
                <w:szCs w:val="24"/>
              </w:rPr>
            </w:pPr>
            <w:r w:rsidRPr="00CA74DC">
              <w:rPr>
                <w:color w:val="000000" w:themeColor="text1"/>
                <w:sz w:val="24"/>
                <w:szCs w:val="24"/>
              </w:rPr>
              <w:t xml:space="preserve">a) Cơ quan nhà nước, đơn vị sự nghiệp công lập, đơn vị lực lượng vũ trang nhân dân, các tổ chức được giao quản lý tài sản cố định thuộc phạm vi </w:t>
            </w:r>
            <w:r w:rsidRPr="00CA74DC">
              <w:rPr>
                <w:color w:val="000000" w:themeColor="text1"/>
                <w:sz w:val="24"/>
                <w:szCs w:val="24"/>
              </w:rPr>
              <w:lastRenderedPageBreak/>
              <w:t>quản lý của tỉnh Tuyên Quang.</w:t>
            </w:r>
          </w:p>
          <w:p w14:paraId="27B270FE" w14:textId="77777777" w:rsidR="00CA74DC" w:rsidRPr="00CA74DC" w:rsidRDefault="00CA74DC" w:rsidP="00CA74DC">
            <w:pPr>
              <w:spacing w:before="60" w:after="60"/>
              <w:ind w:left="68" w:right="68" w:firstLine="425"/>
              <w:jc w:val="both"/>
              <w:rPr>
                <w:color w:val="000000" w:themeColor="text1"/>
                <w:sz w:val="24"/>
                <w:szCs w:val="24"/>
              </w:rPr>
            </w:pPr>
            <w:r w:rsidRPr="00CA74DC">
              <w:rPr>
                <w:color w:val="000000" w:themeColor="text1"/>
                <w:sz w:val="24"/>
                <w:szCs w:val="24"/>
              </w:rPr>
              <w:t>b) Tổ chức tài chính nhà nước ngoài ngân sách được áp dụng theo cơ chế tài chính, cơ chế quản lý tài sản của đơn vị sự nghiệp công lập thuộc phạm vi quản lý của tỉnh Tuyên Quang.</w:t>
            </w:r>
          </w:p>
          <w:p w14:paraId="1022B683" w14:textId="03A58908" w:rsidR="00EB686B" w:rsidRPr="00B625EE" w:rsidRDefault="00CA74DC" w:rsidP="00CA74DC">
            <w:pPr>
              <w:spacing w:before="60" w:after="60"/>
              <w:ind w:left="68" w:right="68" w:firstLine="425"/>
              <w:jc w:val="both"/>
              <w:rPr>
                <w:color w:val="000000" w:themeColor="text1"/>
                <w:sz w:val="24"/>
                <w:szCs w:val="24"/>
              </w:rPr>
            </w:pPr>
            <w:r w:rsidRPr="00CA74DC">
              <w:rPr>
                <w:color w:val="000000" w:themeColor="text1"/>
                <w:sz w:val="24"/>
                <w:szCs w:val="24"/>
              </w:rPr>
              <w:t>c) Doanh nghiệp được giao quản lý tài sản cố định không tính thành phần vốn nhà nước tại doanh nghiệp thuộc phạm vi quản lý trên địa bàn tỉnh Tuyên Quang.</w:t>
            </w:r>
          </w:p>
        </w:tc>
        <w:tc>
          <w:tcPr>
            <w:tcW w:w="2599" w:type="pct"/>
            <w:tcBorders>
              <w:bottom w:val="single" w:sz="4" w:space="0" w:color="auto"/>
            </w:tcBorders>
            <w:shd w:val="clear" w:color="auto" w:fill="FFFFFF"/>
          </w:tcPr>
          <w:p w14:paraId="1EC08ABF" w14:textId="313032C0" w:rsidR="00EB686B" w:rsidRPr="00B625EE" w:rsidRDefault="00E41605" w:rsidP="006A1D39">
            <w:pPr>
              <w:pStyle w:val="ListParagraph"/>
              <w:tabs>
                <w:tab w:val="left" w:pos="993"/>
              </w:tabs>
              <w:spacing w:before="60" w:after="60"/>
              <w:ind w:left="68" w:right="68" w:firstLine="284"/>
              <w:jc w:val="both"/>
              <w:rPr>
                <w:rFonts w:eastAsia="Times New Roman" w:cs="Times New Roman"/>
                <w:bCs/>
                <w:color w:val="000000" w:themeColor="text1"/>
                <w:sz w:val="24"/>
                <w:szCs w:val="24"/>
                <w:lang w:eastAsia="x-none"/>
                <w14:ligatures w14:val="none"/>
              </w:rPr>
            </w:pPr>
            <w:r w:rsidRPr="00B625EE">
              <w:rPr>
                <w:rFonts w:eastAsia="Times New Roman" w:cs="Times New Roman"/>
                <w:bCs/>
                <w:color w:val="000000" w:themeColor="text1"/>
                <w:sz w:val="24"/>
                <w:szCs w:val="24"/>
                <w:lang w:eastAsia="x-none"/>
                <w14:ligatures w14:val="none"/>
              </w:rPr>
              <w:lastRenderedPageBreak/>
              <w:t xml:space="preserve">Quy định tại khoản 1 Điều 1 và khoản 1 Điều 2 </w:t>
            </w:r>
            <w:r w:rsidR="00F436B8" w:rsidRPr="00B625EE">
              <w:rPr>
                <w:rFonts w:cs="Times New Roman"/>
                <w:color w:val="000000" w:themeColor="text1"/>
                <w:spacing w:val="-10"/>
                <w:sz w:val="24"/>
                <w:szCs w:val="24"/>
                <w:lang w:eastAsia="vi-VN"/>
              </w:rPr>
              <w:t xml:space="preserve">Thông tư số </w:t>
            </w:r>
            <w:r w:rsidR="006A1D39">
              <w:rPr>
                <w:rFonts w:eastAsia="Times New Roman" w:cs="Times New Roman"/>
                <w:bCs/>
                <w:color w:val="000000" w:themeColor="text1"/>
                <w:sz w:val="24"/>
                <w:szCs w:val="24"/>
                <w:lang w:eastAsia="x-none"/>
                <w14:ligatures w14:val="none"/>
              </w:rPr>
              <w:t>141/2025</w:t>
            </w:r>
            <w:r w:rsidRPr="00B625EE">
              <w:rPr>
                <w:rFonts w:eastAsia="Times New Roman" w:cs="Times New Roman"/>
                <w:bCs/>
                <w:color w:val="000000" w:themeColor="text1"/>
                <w:sz w:val="24"/>
                <w:szCs w:val="24"/>
                <w:lang w:eastAsia="x-none"/>
                <w14:ligatures w14:val="none"/>
              </w:rPr>
              <w:t xml:space="preserve">/TT-BTC ngày </w:t>
            </w:r>
            <w:r w:rsidR="006A1D39">
              <w:rPr>
                <w:rFonts w:eastAsia="Times New Roman" w:cs="Times New Roman"/>
                <w:bCs/>
                <w:color w:val="000000" w:themeColor="text1"/>
                <w:sz w:val="24"/>
                <w:szCs w:val="24"/>
                <w:lang w:eastAsia="x-none"/>
                <w14:ligatures w14:val="none"/>
              </w:rPr>
              <w:t>31/12/2025</w:t>
            </w:r>
            <w:r w:rsidRPr="00B625EE">
              <w:rPr>
                <w:rFonts w:eastAsia="Times New Roman" w:cs="Times New Roman"/>
                <w:bCs/>
                <w:color w:val="000000" w:themeColor="text1"/>
                <w:sz w:val="24"/>
                <w:szCs w:val="24"/>
                <w:lang w:eastAsia="x-none"/>
                <w14:ligatures w14:val="none"/>
              </w:rPr>
              <w:t xml:space="preserve">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00D06662" w:rsidRPr="00B625EE">
              <w:rPr>
                <w:rStyle w:val="FootnoteReference"/>
                <w:rFonts w:eastAsia="Times New Roman" w:cs="Times New Roman"/>
                <w:bCs/>
                <w:color w:val="000000" w:themeColor="text1"/>
                <w:sz w:val="24"/>
                <w:szCs w:val="24"/>
                <w:lang w:eastAsia="x-none"/>
                <w14:ligatures w14:val="none"/>
              </w:rPr>
              <w:footnoteReference w:id="1"/>
            </w:r>
            <w:r w:rsidRPr="00B625EE">
              <w:rPr>
                <w:rFonts w:eastAsia="Times New Roman" w:cs="Times New Roman"/>
                <w:bCs/>
                <w:color w:val="000000" w:themeColor="text1"/>
                <w:sz w:val="24"/>
                <w:szCs w:val="24"/>
                <w:lang w:eastAsia="x-none"/>
                <w14:ligatures w14:val="none"/>
              </w:rPr>
              <w:t>.</w:t>
            </w:r>
          </w:p>
        </w:tc>
      </w:tr>
      <w:tr w:rsidR="00B625EE" w:rsidRPr="00B625EE" w14:paraId="6D7118D1" w14:textId="77777777" w:rsidTr="00A47DA8">
        <w:tc>
          <w:tcPr>
            <w:tcW w:w="2401" w:type="pct"/>
            <w:shd w:val="clear" w:color="auto" w:fill="FFFFFF"/>
          </w:tcPr>
          <w:p w14:paraId="1EF0BF15" w14:textId="330EEDA2" w:rsidR="00E41605" w:rsidRPr="00B625EE" w:rsidRDefault="000C32D0" w:rsidP="00B1750B">
            <w:pPr>
              <w:pStyle w:val="NormalWeb"/>
              <w:shd w:val="clear" w:color="auto" w:fill="FFFFFF"/>
              <w:spacing w:before="60" w:beforeAutospacing="0" w:after="60" w:afterAutospacing="0"/>
              <w:ind w:left="68" w:right="68" w:firstLine="425"/>
              <w:jc w:val="both"/>
              <w:rPr>
                <w:b/>
                <w:color w:val="000000" w:themeColor="text1"/>
                <w:spacing w:val="-8"/>
                <w:lang w:val="nl-NL"/>
              </w:rPr>
            </w:pPr>
            <w:r w:rsidRPr="00B625EE">
              <w:rPr>
                <w:b/>
                <w:color w:val="000000" w:themeColor="text1"/>
                <w:spacing w:val="-8"/>
                <w:lang w:val="nl-NL"/>
              </w:rPr>
              <w:lastRenderedPageBreak/>
              <w:t xml:space="preserve">Điều 2. </w:t>
            </w:r>
            <w:r w:rsidR="00CA74DC" w:rsidRPr="00CA74DC">
              <w:rPr>
                <w:b/>
                <w:color w:val="000000" w:themeColor="text1"/>
                <w:spacing w:val="-8"/>
                <w:lang w:val="nl-NL"/>
              </w:rPr>
              <w:t>Danh mục, thời gian sử dụng để tính hao mòn và tỷ lệ hao mòn tài sản cố định vô hình; danh mục tài sản cố định đặc thù</w:t>
            </w:r>
          </w:p>
          <w:p w14:paraId="3A4D6726" w14:textId="77777777" w:rsidR="00CA74DC" w:rsidRDefault="00CA74DC" w:rsidP="00B625EE">
            <w:pPr>
              <w:pStyle w:val="NormalWeb"/>
              <w:shd w:val="clear" w:color="auto" w:fill="FFFFFF"/>
              <w:spacing w:before="40" w:beforeAutospacing="0" w:after="40" w:afterAutospacing="0"/>
              <w:ind w:left="68" w:right="68" w:firstLine="425"/>
              <w:jc w:val="both"/>
              <w:rPr>
                <w:bCs/>
                <w:color w:val="000000" w:themeColor="text1"/>
                <w:spacing w:val="-8"/>
                <w:lang w:val="nl-NL"/>
              </w:rPr>
            </w:pPr>
            <w:r w:rsidRPr="00CA74DC">
              <w:rPr>
                <w:bCs/>
                <w:color w:val="000000" w:themeColor="text1"/>
                <w:spacing w:val="-8"/>
                <w:lang w:val="nl-NL"/>
              </w:rPr>
              <w:t>1. Danh mục, thời gian sử dụng để tính hao mòn và tỷ lệ hao mòn tài sản cố định vô hình tại Phụ lục I kèm theo Quyết định này.</w:t>
            </w:r>
          </w:p>
          <w:p w14:paraId="5BECA36F" w14:textId="5A5BE9CD" w:rsidR="00CA74DC" w:rsidRPr="001E3F60" w:rsidRDefault="00B625EE" w:rsidP="00CA74DC">
            <w:pPr>
              <w:pStyle w:val="NormalWeb"/>
              <w:shd w:val="clear" w:color="auto" w:fill="FFFFFF"/>
              <w:spacing w:before="40" w:beforeAutospacing="0" w:after="40" w:afterAutospacing="0"/>
              <w:ind w:left="68" w:right="68" w:firstLine="425"/>
              <w:jc w:val="both"/>
              <w:rPr>
                <w:color w:val="000000" w:themeColor="text1"/>
                <w:spacing w:val="-8"/>
                <w:lang w:val="nl-NL"/>
              </w:rPr>
            </w:pPr>
            <w:r w:rsidRPr="001E3F60">
              <w:rPr>
                <w:color w:val="000000" w:themeColor="text1"/>
                <w:spacing w:val="-8"/>
                <w:lang w:val="nl-NL"/>
              </w:rPr>
              <w:t xml:space="preserve">Phụ lục 1: </w:t>
            </w:r>
            <w:r w:rsidR="00CA74DC" w:rsidRPr="001E3F60">
              <w:rPr>
                <w:color w:val="000000" w:themeColor="text1"/>
                <w:spacing w:val="-8"/>
                <w:lang w:val="nl-NL"/>
              </w:rPr>
              <w:t xml:space="preserve">Danh mục, thời gian sử dụng để tính hao mòn và tỷ lệ hao mòn tài sản cố định vô hình </w:t>
            </w:r>
          </w:p>
          <w:p w14:paraId="777CA5DE" w14:textId="2682F1A6" w:rsidR="00CA74DC" w:rsidRPr="001E3F60" w:rsidRDefault="00CA74DC" w:rsidP="00CA74DC">
            <w:pPr>
              <w:pStyle w:val="NormalWeb"/>
              <w:shd w:val="clear" w:color="auto" w:fill="FFFFFF"/>
              <w:spacing w:before="40" w:beforeAutospacing="0" w:after="40" w:afterAutospacing="0"/>
              <w:ind w:left="68" w:right="68" w:firstLine="425"/>
              <w:jc w:val="both"/>
              <w:rPr>
                <w:color w:val="000000" w:themeColor="text1"/>
                <w:spacing w:val="-8"/>
                <w:lang w:val="nl-NL"/>
              </w:rPr>
            </w:pPr>
            <w:r w:rsidRPr="001E3F60">
              <w:rPr>
                <w:color w:val="000000" w:themeColor="text1"/>
                <w:spacing w:val="-8"/>
                <w:lang w:val="nl-NL"/>
              </w:rPr>
              <w:t>I. Sản phẩm phần mềm</w:t>
            </w:r>
          </w:p>
          <w:p w14:paraId="76F2CB5A" w14:textId="00BDAE85" w:rsidR="00B625EE" w:rsidRPr="001E3F60" w:rsidRDefault="00CA74DC" w:rsidP="00B625EE">
            <w:pPr>
              <w:pStyle w:val="NormalWeb"/>
              <w:shd w:val="clear" w:color="auto" w:fill="FFFFFF"/>
              <w:spacing w:before="40" w:beforeAutospacing="0" w:after="40" w:afterAutospacing="0"/>
              <w:ind w:left="68" w:right="68" w:firstLine="425"/>
              <w:jc w:val="both"/>
              <w:rPr>
                <w:color w:val="000000" w:themeColor="text1"/>
                <w:spacing w:val="-8"/>
                <w:lang w:val="nl-NL"/>
              </w:rPr>
            </w:pPr>
            <w:r w:rsidRPr="001E3F60">
              <w:rPr>
                <w:color w:val="000000" w:themeColor="text1"/>
                <w:spacing w:val="-8"/>
                <w:lang w:val="nl-NL"/>
              </w:rPr>
              <w:t>II</w:t>
            </w:r>
            <w:r w:rsidR="00B625EE" w:rsidRPr="001E3F60">
              <w:rPr>
                <w:color w:val="000000" w:themeColor="text1"/>
                <w:spacing w:val="-8"/>
                <w:lang w:val="nl-NL"/>
              </w:rPr>
              <w:t xml:space="preserve">. </w:t>
            </w:r>
            <w:r w:rsidRPr="001E3F60">
              <w:rPr>
                <w:color w:val="000000" w:themeColor="text1"/>
                <w:spacing w:val="-8"/>
                <w:lang w:val="nl-NL"/>
              </w:rPr>
              <w:t>Tài sản cố định vô hình khác (trừ quyền sử dụng đất)</w:t>
            </w:r>
          </w:p>
          <w:p w14:paraId="3338773F" w14:textId="77777777" w:rsidR="00CA74DC" w:rsidRPr="001E3F60" w:rsidRDefault="00CA74DC" w:rsidP="00B625EE">
            <w:pPr>
              <w:pStyle w:val="NormalWeb"/>
              <w:shd w:val="clear" w:color="auto" w:fill="FFFFFF"/>
              <w:spacing w:before="60" w:beforeAutospacing="0" w:after="60" w:afterAutospacing="0"/>
              <w:ind w:left="68" w:right="68" w:firstLine="425"/>
              <w:jc w:val="both"/>
              <w:rPr>
                <w:rFonts w:eastAsiaTheme="minorHAnsi" w:cstheme="minorBidi"/>
                <w:bCs/>
                <w:color w:val="000000" w:themeColor="text1"/>
                <w:spacing w:val="-8"/>
                <w:lang w:val="nl-NL"/>
              </w:rPr>
            </w:pPr>
            <w:r w:rsidRPr="001E3F60">
              <w:rPr>
                <w:rFonts w:eastAsiaTheme="minorHAnsi" w:cstheme="minorBidi"/>
                <w:bCs/>
                <w:color w:val="000000" w:themeColor="text1"/>
                <w:spacing w:val="-8"/>
                <w:lang w:val="nl-NL"/>
              </w:rPr>
              <w:t>2. Danh mục tài sản cố định đặc thù tại Phụ lục II kèm theo Quyết định này.</w:t>
            </w:r>
          </w:p>
          <w:p w14:paraId="631D638F" w14:textId="2C4A2349" w:rsidR="00B625EE" w:rsidRPr="001E3F60" w:rsidRDefault="00B625EE" w:rsidP="00B625EE">
            <w:pPr>
              <w:pStyle w:val="NormalWeb"/>
              <w:shd w:val="clear" w:color="auto" w:fill="FFFFFF"/>
              <w:spacing w:before="60" w:beforeAutospacing="0" w:after="60" w:afterAutospacing="0"/>
              <w:ind w:left="68" w:right="68" w:firstLine="425"/>
              <w:jc w:val="both"/>
              <w:rPr>
                <w:color w:val="000000" w:themeColor="text1"/>
                <w:spacing w:val="-8"/>
                <w:lang w:val="nl-NL"/>
              </w:rPr>
            </w:pPr>
            <w:r w:rsidRPr="001E3F60">
              <w:rPr>
                <w:color w:val="000000" w:themeColor="text1"/>
                <w:spacing w:val="-8"/>
                <w:lang w:val="nl-NL"/>
              </w:rPr>
              <w:t>Phục lục 2: Danh mục tài sản cố định đặc thù</w:t>
            </w:r>
          </w:p>
          <w:p w14:paraId="79815843" w14:textId="793D29BA" w:rsidR="00B625EE" w:rsidRPr="001E3F60" w:rsidRDefault="00B625EE" w:rsidP="00B625EE">
            <w:pPr>
              <w:pStyle w:val="NormalWeb"/>
              <w:shd w:val="clear" w:color="auto" w:fill="FFFFFF"/>
              <w:spacing w:before="60" w:beforeAutospacing="0" w:after="60" w:afterAutospacing="0"/>
              <w:ind w:left="68" w:right="68" w:firstLine="425"/>
              <w:jc w:val="both"/>
              <w:rPr>
                <w:bCs/>
                <w:color w:val="000000" w:themeColor="text1"/>
                <w:spacing w:val="-8"/>
                <w:lang w:val="nl-NL"/>
              </w:rPr>
            </w:pPr>
            <w:r w:rsidRPr="001E3F60">
              <w:rPr>
                <w:bCs/>
                <w:color w:val="000000" w:themeColor="text1"/>
                <w:spacing w:val="-8"/>
                <w:lang w:val="nl-NL"/>
              </w:rPr>
              <w:t>I. Di tích lịch sử được xếp hạng</w:t>
            </w:r>
          </w:p>
          <w:p w14:paraId="65EE66F7" w14:textId="77777777" w:rsidR="00B625EE" w:rsidRPr="001E3F60" w:rsidRDefault="00B625EE" w:rsidP="00B625EE">
            <w:pPr>
              <w:widowControl w:val="0"/>
              <w:shd w:val="clear" w:color="auto" w:fill="FFFFFF"/>
              <w:ind w:left="68" w:right="68" w:firstLine="425"/>
              <w:jc w:val="both"/>
              <w:rPr>
                <w:bCs/>
                <w:color w:val="000000" w:themeColor="text1"/>
                <w:spacing w:val="-8"/>
                <w:sz w:val="24"/>
                <w:szCs w:val="24"/>
                <w:lang w:val="nl-NL"/>
              </w:rPr>
            </w:pPr>
            <w:r w:rsidRPr="001E3F60">
              <w:rPr>
                <w:bCs/>
                <w:color w:val="000000" w:themeColor="text1"/>
                <w:spacing w:val="-8"/>
                <w:sz w:val="24"/>
                <w:szCs w:val="24"/>
                <w:lang w:val="nl-NL"/>
              </w:rPr>
              <w:t>II. Cổ vật, hiện vật trưng bày trong Bảo tàng, Nhà trưng bày, Khu lưu niệm và các Khu di tích</w:t>
            </w:r>
          </w:p>
          <w:p w14:paraId="0C399644" w14:textId="77777777" w:rsidR="00CA74DC" w:rsidRDefault="00CA74DC" w:rsidP="00B625EE">
            <w:pPr>
              <w:widowControl w:val="0"/>
              <w:shd w:val="clear" w:color="auto" w:fill="FFFFFF"/>
              <w:ind w:left="68" w:right="68" w:firstLine="425"/>
              <w:jc w:val="both"/>
              <w:rPr>
                <w:rFonts w:cs="Times New Roman"/>
                <w:bCs/>
                <w:color w:val="000000" w:themeColor="text1"/>
                <w:spacing w:val="2"/>
                <w:sz w:val="24"/>
                <w:szCs w:val="24"/>
                <w:lang w:val="pt-BR"/>
              </w:rPr>
            </w:pPr>
            <w:r>
              <w:rPr>
                <w:rFonts w:cs="Times New Roman"/>
                <w:bCs/>
                <w:color w:val="000000" w:themeColor="text1"/>
                <w:spacing w:val="2"/>
                <w:sz w:val="24"/>
                <w:szCs w:val="24"/>
                <w:lang w:val="pt-BR"/>
              </w:rPr>
              <w:t>III. Quyền tác giả</w:t>
            </w:r>
          </w:p>
          <w:p w14:paraId="6213A171" w14:textId="77777777" w:rsidR="00CA74DC" w:rsidRDefault="00CA74DC" w:rsidP="00B625EE">
            <w:pPr>
              <w:widowControl w:val="0"/>
              <w:shd w:val="clear" w:color="auto" w:fill="FFFFFF"/>
              <w:ind w:left="68" w:right="68" w:firstLine="425"/>
              <w:jc w:val="both"/>
              <w:rPr>
                <w:rFonts w:cs="Times New Roman"/>
                <w:bCs/>
                <w:color w:val="000000" w:themeColor="text1"/>
                <w:spacing w:val="2"/>
                <w:sz w:val="24"/>
                <w:szCs w:val="24"/>
                <w:lang w:val="pt-BR"/>
              </w:rPr>
            </w:pPr>
            <w:r>
              <w:rPr>
                <w:rFonts w:cs="Times New Roman"/>
                <w:bCs/>
                <w:color w:val="000000" w:themeColor="text1"/>
                <w:spacing w:val="2"/>
                <w:sz w:val="24"/>
                <w:szCs w:val="24"/>
                <w:lang w:val="pt-BR"/>
              </w:rPr>
              <w:t>IV. Quyền liên quan đến quyền tác giả</w:t>
            </w:r>
          </w:p>
          <w:p w14:paraId="2AF6393E" w14:textId="77777777" w:rsidR="00CA74DC" w:rsidRDefault="00CA74DC" w:rsidP="00B625EE">
            <w:pPr>
              <w:widowControl w:val="0"/>
              <w:shd w:val="clear" w:color="auto" w:fill="FFFFFF"/>
              <w:ind w:left="68" w:right="68" w:firstLine="425"/>
              <w:jc w:val="both"/>
              <w:rPr>
                <w:rFonts w:cs="Times New Roman"/>
                <w:bCs/>
                <w:color w:val="000000" w:themeColor="text1"/>
                <w:spacing w:val="2"/>
                <w:sz w:val="24"/>
                <w:szCs w:val="24"/>
                <w:lang w:val="pt-BR"/>
              </w:rPr>
            </w:pPr>
            <w:r>
              <w:rPr>
                <w:rFonts w:cs="Times New Roman"/>
                <w:bCs/>
                <w:color w:val="000000" w:themeColor="text1"/>
                <w:spacing w:val="2"/>
                <w:sz w:val="24"/>
                <w:szCs w:val="24"/>
                <w:lang w:val="pt-BR"/>
              </w:rPr>
              <w:t>V. Quyền sở hữu công nghiệp</w:t>
            </w:r>
          </w:p>
          <w:p w14:paraId="7B7A7755" w14:textId="1B4030E0" w:rsidR="00CA74DC" w:rsidRPr="00B625EE" w:rsidRDefault="00CA74DC" w:rsidP="00B625EE">
            <w:pPr>
              <w:widowControl w:val="0"/>
              <w:shd w:val="clear" w:color="auto" w:fill="FFFFFF"/>
              <w:ind w:left="68" w:right="68" w:firstLine="425"/>
              <w:jc w:val="both"/>
              <w:rPr>
                <w:rFonts w:cs="Times New Roman"/>
                <w:bCs/>
                <w:color w:val="000000" w:themeColor="text1"/>
                <w:spacing w:val="2"/>
                <w:sz w:val="24"/>
                <w:szCs w:val="24"/>
                <w:lang w:val="pt-BR"/>
              </w:rPr>
            </w:pPr>
            <w:r>
              <w:rPr>
                <w:rFonts w:cs="Times New Roman"/>
                <w:bCs/>
                <w:color w:val="000000" w:themeColor="text1"/>
                <w:spacing w:val="2"/>
                <w:sz w:val="24"/>
                <w:szCs w:val="24"/>
                <w:lang w:val="pt-BR"/>
              </w:rPr>
              <w:t>VI. Quyền đối với giống cây trồng</w:t>
            </w:r>
          </w:p>
        </w:tc>
        <w:tc>
          <w:tcPr>
            <w:tcW w:w="2599" w:type="pct"/>
            <w:tcBorders>
              <w:top w:val="single" w:sz="4" w:space="0" w:color="auto"/>
            </w:tcBorders>
            <w:shd w:val="clear" w:color="auto" w:fill="FFFFFF"/>
          </w:tcPr>
          <w:p w14:paraId="257A92A2" w14:textId="0C3B8C1F" w:rsidR="00EB686B" w:rsidRDefault="00B625EE" w:rsidP="00B1750B">
            <w:pPr>
              <w:pStyle w:val="ListParagraph"/>
              <w:tabs>
                <w:tab w:val="left" w:pos="993"/>
              </w:tabs>
              <w:spacing w:before="60" w:after="60"/>
              <w:ind w:left="68" w:right="68" w:firstLine="284"/>
              <w:contextualSpacing w:val="0"/>
              <w:jc w:val="both"/>
              <w:rPr>
                <w:rFonts w:cs="Times New Roman"/>
                <w:color w:val="000000" w:themeColor="text1"/>
                <w:spacing w:val="-10"/>
                <w:sz w:val="24"/>
                <w:szCs w:val="24"/>
                <w:lang w:eastAsia="vi-VN"/>
              </w:rPr>
            </w:pPr>
            <w:r w:rsidRPr="00B625EE">
              <w:rPr>
                <w:rFonts w:cs="Times New Roman"/>
                <w:color w:val="000000" w:themeColor="text1"/>
                <w:spacing w:val="-10"/>
                <w:sz w:val="24"/>
                <w:szCs w:val="24"/>
                <w:lang w:eastAsia="vi-VN"/>
              </w:rPr>
              <w:t>Kế thừa Quyết định 06/2024/QĐ-UBND ngày 08/3/2024 ngày 08/3/2024 của UBND tỉnh Tuyên Quang Quy định danh mục, thời gian tính hao mòn và tỷ lệ hao mòn tài sản cố định vô hình và Danh mục tài sản cố định đặc thù thuộc phạm vi quản lý trên địa bàn tỉnh Tuyên Quang; Quyết định số 38/2024/QĐ-UBND ngày 08/8/2024 của UBND tỉnh Hà Giang Quy định danh mục, thời gian tính hao mòn và tỷ lệ hao mòn tài sản cố định vô hình; danh mục tài sản cố định đặc thù thuộc phạm vi quản lý của tỉnh Hà Giang</w:t>
            </w:r>
            <w:r w:rsidR="006A1D39">
              <w:rPr>
                <w:rFonts w:cs="Times New Roman"/>
                <w:color w:val="000000" w:themeColor="text1"/>
                <w:spacing w:val="-10"/>
                <w:sz w:val="24"/>
                <w:szCs w:val="24"/>
                <w:lang w:eastAsia="vi-VN"/>
              </w:rPr>
              <w:t>;</w:t>
            </w:r>
          </w:p>
          <w:p w14:paraId="637B4B37" w14:textId="6E67DE53" w:rsidR="006A1D39" w:rsidRDefault="001E3F60" w:rsidP="00B1750B">
            <w:pPr>
              <w:pStyle w:val="ListParagraph"/>
              <w:tabs>
                <w:tab w:val="left" w:pos="993"/>
              </w:tabs>
              <w:spacing w:before="60" w:after="60"/>
              <w:ind w:left="68" w:right="68" w:firstLine="284"/>
              <w:contextualSpacing w:val="0"/>
              <w:jc w:val="both"/>
              <w:rPr>
                <w:rFonts w:cs="Times New Roman"/>
                <w:color w:val="000000" w:themeColor="text1"/>
                <w:spacing w:val="-10"/>
                <w:sz w:val="24"/>
                <w:szCs w:val="24"/>
                <w:lang w:eastAsia="vi-VN"/>
              </w:rPr>
            </w:pPr>
            <w:r>
              <w:rPr>
                <w:rFonts w:cs="Times New Roman"/>
                <w:color w:val="000000" w:themeColor="text1"/>
                <w:spacing w:val="-10"/>
                <w:sz w:val="24"/>
                <w:szCs w:val="24"/>
                <w:lang w:eastAsia="vi-VN"/>
              </w:rPr>
              <w:t xml:space="preserve">Theo quy định tại </w:t>
            </w:r>
            <w:r w:rsidR="006A1D39">
              <w:rPr>
                <w:rFonts w:cs="Times New Roman"/>
                <w:color w:val="000000" w:themeColor="text1"/>
                <w:spacing w:val="-10"/>
                <w:sz w:val="24"/>
                <w:szCs w:val="24"/>
                <w:lang w:eastAsia="vi-VN"/>
              </w:rPr>
              <w:t>Luật Sở hữu trí tuệ số 50/2005/QH11 được sửa đổi bổ sung bởi Luật số 36/2009/QH12;</w:t>
            </w:r>
          </w:p>
          <w:p w14:paraId="69D165D5" w14:textId="60DD5612" w:rsidR="006A1D39" w:rsidRDefault="001E3F60" w:rsidP="00B1750B">
            <w:pPr>
              <w:pStyle w:val="ListParagraph"/>
              <w:tabs>
                <w:tab w:val="left" w:pos="993"/>
              </w:tabs>
              <w:spacing w:before="60" w:after="60"/>
              <w:ind w:left="68" w:right="68" w:firstLine="284"/>
              <w:contextualSpacing w:val="0"/>
              <w:jc w:val="both"/>
              <w:rPr>
                <w:rFonts w:cs="Times New Roman"/>
                <w:color w:val="000000" w:themeColor="text1"/>
                <w:spacing w:val="-10"/>
                <w:sz w:val="24"/>
                <w:szCs w:val="24"/>
                <w:lang w:eastAsia="vi-VN"/>
              </w:rPr>
            </w:pPr>
            <w:r>
              <w:rPr>
                <w:rFonts w:cs="Times New Roman"/>
                <w:color w:val="000000" w:themeColor="text1"/>
                <w:spacing w:val="-10"/>
                <w:sz w:val="24"/>
                <w:szCs w:val="24"/>
                <w:lang w:eastAsia="vi-VN"/>
              </w:rPr>
              <w:t xml:space="preserve">Theo quy định tại </w:t>
            </w:r>
            <w:bookmarkStart w:id="1" w:name="_GoBack"/>
            <w:bookmarkEnd w:id="1"/>
            <w:r w:rsidR="006A1D39">
              <w:rPr>
                <w:rFonts w:cs="Times New Roman"/>
                <w:color w:val="000000" w:themeColor="text1"/>
                <w:spacing w:val="-10"/>
                <w:sz w:val="24"/>
                <w:szCs w:val="24"/>
                <w:lang w:eastAsia="vi-VN"/>
              </w:rPr>
              <w:t>Thông tư số 09/2013/TT-BTTTT ngày 08/4/2013 của Bộ trưởng Bộ Thông tin và Truyền thông ban hành danh mục sản phẩm phần mềm và phần cứng điện tử được sửa đổi, bổ sung bởi Thông tư số 20/2021/TT-BTTTT;</w:t>
            </w:r>
          </w:p>
          <w:p w14:paraId="24410532" w14:textId="68CBB451" w:rsidR="006A1D39" w:rsidRPr="00B625EE" w:rsidRDefault="006A1D39" w:rsidP="00B1750B">
            <w:pPr>
              <w:pStyle w:val="ListParagraph"/>
              <w:tabs>
                <w:tab w:val="left" w:pos="993"/>
              </w:tabs>
              <w:spacing w:before="60" w:after="60"/>
              <w:ind w:left="68" w:right="68" w:firstLine="284"/>
              <w:contextualSpacing w:val="0"/>
              <w:jc w:val="both"/>
              <w:rPr>
                <w:rFonts w:eastAsia="Times New Roman" w:cs="Times New Roman"/>
                <w:bCs/>
                <w:color w:val="000000" w:themeColor="text1"/>
                <w:sz w:val="24"/>
                <w:szCs w:val="24"/>
                <w:lang w:eastAsia="x-none"/>
                <w14:ligatures w14:val="none"/>
              </w:rPr>
            </w:pPr>
          </w:p>
        </w:tc>
      </w:tr>
      <w:tr w:rsidR="00B625EE" w:rsidRPr="00B625EE" w14:paraId="0124553F" w14:textId="77777777" w:rsidTr="001C3AE2">
        <w:tc>
          <w:tcPr>
            <w:tcW w:w="2401" w:type="pct"/>
            <w:shd w:val="clear" w:color="auto" w:fill="FFFFFF"/>
          </w:tcPr>
          <w:p w14:paraId="7EAFE1D1" w14:textId="01A81CD9" w:rsidR="00284A74" w:rsidRPr="00B625EE" w:rsidRDefault="00284A74" w:rsidP="00B1750B">
            <w:pPr>
              <w:pStyle w:val="NormalWeb"/>
              <w:shd w:val="clear" w:color="auto" w:fill="FFFFFF"/>
              <w:spacing w:before="60" w:beforeAutospacing="0" w:after="60" w:afterAutospacing="0"/>
              <w:ind w:left="68" w:right="68" w:firstLine="425"/>
              <w:jc w:val="both"/>
              <w:rPr>
                <w:b/>
                <w:color w:val="000000" w:themeColor="text1"/>
                <w:spacing w:val="-8"/>
                <w:lang w:val="nl-NL"/>
              </w:rPr>
            </w:pPr>
            <w:bookmarkStart w:id="2" w:name="dieu_3"/>
            <w:r w:rsidRPr="00B625EE">
              <w:rPr>
                <w:b/>
                <w:color w:val="000000" w:themeColor="text1"/>
                <w:spacing w:val="-8"/>
                <w:lang w:val="nl-NL"/>
              </w:rPr>
              <w:t xml:space="preserve">Điều 3. </w:t>
            </w:r>
            <w:r w:rsidR="00CA74DC" w:rsidRPr="00CA74DC">
              <w:rPr>
                <w:b/>
                <w:color w:val="000000" w:themeColor="text1"/>
                <w:spacing w:val="-8"/>
                <w:lang w:val="nl-NL"/>
              </w:rPr>
              <w:t>Điều khoản thi hành</w:t>
            </w:r>
            <w:bookmarkEnd w:id="2"/>
          </w:p>
          <w:p w14:paraId="1835572C" w14:textId="77777777" w:rsidR="00CA74DC" w:rsidRPr="00CA74DC" w:rsidRDefault="00CA74DC" w:rsidP="00CA74DC">
            <w:pPr>
              <w:pStyle w:val="NormalWeb"/>
              <w:shd w:val="clear" w:color="auto" w:fill="FFFFFF"/>
              <w:spacing w:before="0" w:beforeAutospacing="0" w:after="0" w:afterAutospacing="0"/>
              <w:ind w:left="68" w:right="68" w:firstLine="425"/>
              <w:jc w:val="both"/>
              <w:rPr>
                <w:bCs/>
                <w:color w:val="000000" w:themeColor="text1"/>
                <w:spacing w:val="-8"/>
                <w:lang w:val="nl-NL"/>
              </w:rPr>
            </w:pPr>
            <w:r w:rsidRPr="00CA74DC">
              <w:rPr>
                <w:bCs/>
                <w:color w:val="000000" w:themeColor="text1"/>
                <w:spacing w:val="-8"/>
                <w:lang w:val="nl-NL"/>
              </w:rPr>
              <w:t>1. Quyết định này có hiệu lực kể từ ngày      tháng      năm 2026</w:t>
            </w:r>
          </w:p>
          <w:p w14:paraId="4C785596" w14:textId="515DFCF0" w:rsidR="006D5EC9" w:rsidRPr="00B625EE" w:rsidRDefault="00CA74DC" w:rsidP="00CA74DC">
            <w:pPr>
              <w:pStyle w:val="NormalWeb"/>
              <w:shd w:val="clear" w:color="auto" w:fill="FFFFFF"/>
              <w:spacing w:before="60" w:beforeAutospacing="0" w:after="60" w:afterAutospacing="0"/>
              <w:ind w:left="68" w:right="68" w:firstLine="425"/>
              <w:jc w:val="both"/>
              <w:rPr>
                <w:bCs/>
                <w:color w:val="000000" w:themeColor="text1"/>
                <w:spacing w:val="-8"/>
                <w:lang w:val="nl-NL"/>
              </w:rPr>
            </w:pPr>
            <w:r w:rsidRPr="00CA74DC">
              <w:rPr>
                <w:bCs/>
                <w:color w:val="000000" w:themeColor="text1"/>
                <w:spacing w:val="-8"/>
                <w:lang w:val="nl-NL"/>
              </w:rPr>
              <w:t>2. Chánh Văn phòng Ủy ban nhân dân tỉnh; Giám đốc Sở Tài chính; Thủ trưởng các sở, ban, ngành của tỉnh; Chủ tịch Ủy ban nhân dân xã, phường và các cơ quan, đơn vị, tổ chức, cá nhân có liên quan chịu trách nhiệm thi hành Quyết định này./.</w:t>
            </w:r>
          </w:p>
        </w:tc>
        <w:tc>
          <w:tcPr>
            <w:tcW w:w="2599" w:type="pct"/>
            <w:shd w:val="clear" w:color="auto" w:fill="FFFFFF"/>
          </w:tcPr>
          <w:p w14:paraId="3F783209" w14:textId="54C34658" w:rsidR="00475318" w:rsidRPr="00B625EE" w:rsidRDefault="00475318" w:rsidP="00B1750B">
            <w:pPr>
              <w:spacing w:before="60" w:after="60"/>
              <w:ind w:left="68" w:right="68"/>
              <w:jc w:val="both"/>
              <w:rPr>
                <w:rFonts w:cs="Times New Roman"/>
                <w:color w:val="000000" w:themeColor="text1"/>
                <w:spacing w:val="-10"/>
                <w:sz w:val="24"/>
                <w:szCs w:val="24"/>
                <w:lang w:eastAsia="vi-VN"/>
              </w:rPr>
            </w:pPr>
          </w:p>
        </w:tc>
      </w:tr>
    </w:tbl>
    <w:p w14:paraId="5D46DD75" w14:textId="77777777" w:rsidR="00DC208E" w:rsidRPr="00B625EE" w:rsidRDefault="00DC208E" w:rsidP="00F50E5F">
      <w:pPr>
        <w:spacing w:before="120"/>
        <w:rPr>
          <w:rFonts w:cs="Times New Roman"/>
          <w:color w:val="000000" w:themeColor="text1"/>
          <w:szCs w:val="28"/>
        </w:rPr>
      </w:pPr>
    </w:p>
    <w:sectPr w:rsidR="00DC208E" w:rsidRPr="00B625EE" w:rsidSect="001C3AE2">
      <w:headerReference w:type="default" r:id="rId8"/>
      <w:pgSz w:w="11907" w:h="16840" w:code="9"/>
      <w:pgMar w:top="1134" w:right="567" w:bottom="1134" w:left="709"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AF74A" w14:textId="77777777" w:rsidR="00213A21" w:rsidRDefault="00213A21" w:rsidP="00B07EA5">
      <w:r>
        <w:separator/>
      </w:r>
    </w:p>
  </w:endnote>
  <w:endnote w:type="continuationSeparator" w:id="0">
    <w:p w14:paraId="312DFCC3" w14:textId="77777777" w:rsidR="00213A21" w:rsidRDefault="00213A21" w:rsidP="00B0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CC96" w14:textId="77777777" w:rsidR="00213A21" w:rsidRDefault="00213A21" w:rsidP="00B07EA5">
      <w:r>
        <w:separator/>
      </w:r>
    </w:p>
  </w:footnote>
  <w:footnote w:type="continuationSeparator" w:id="0">
    <w:p w14:paraId="6875FD41" w14:textId="77777777" w:rsidR="00213A21" w:rsidRDefault="00213A21" w:rsidP="00B07EA5">
      <w:r>
        <w:continuationSeparator/>
      </w:r>
    </w:p>
  </w:footnote>
  <w:footnote w:id="1">
    <w:p w14:paraId="1621DC54" w14:textId="67B48F27" w:rsidR="00D06662" w:rsidRPr="00D06662" w:rsidRDefault="00D06662" w:rsidP="00D06662">
      <w:pPr>
        <w:pStyle w:val="FootnoteText"/>
        <w:ind w:firstLine="567"/>
        <w:jc w:val="both"/>
        <w:rPr>
          <w:rFonts w:ascii="Times New Roman" w:hAnsi="Times New Roman"/>
          <w:i/>
          <w:iCs/>
        </w:rPr>
      </w:pPr>
      <w:r w:rsidRPr="00D06662">
        <w:rPr>
          <w:rStyle w:val="FootnoteReference"/>
          <w:rFonts w:ascii="Times New Roman" w:hAnsi="Times New Roman"/>
          <w:i/>
          <w:iCs/>
        </w:rPr>
        <w:footnoteRef/>
      </w:r>
      <w:r w:rsidRPr="00D06662">
        <w:rPr>
          <w:rFonts w:ascii="Times New Roman" w:hAnsi="Times New Roman"/>
          <w:i/>
          <w:iCs/>
        </w:rPr>
        <w:t xml:space="preserve"> </w:t>
      </w:r>
      <w:r>
        <w:rPr>
          <w:rFonts w:ascii="Times New Roman" w:hAnsi="Times New Roman"/>
          <w:i/>
          <w:iCs/>
        </w:rPr>
        <w:t>“</w:t>
      </w:r>
      <w:r w:rsidRPr="00D06662">
        <w:rPr>
          <w:rFonts w:ascii="Times New Roman" w:hAnsi="Times New Roman"/>
          <w:b/>
          <w:bCs/>
          <w:i/>
          <w:iCs/>
        </w:rPr>
        <w:t>Điều 1. Phạm vi điều chỉnh</w:t>
      </w:r>
    </w:p>
    <w:p w14:paraId="47B66E55" w14:textId="4341C3F0" w:rsidR="006A1D39" w:rsidRPr="006A1D39" w:rsidRDefault="006A1D39" w:rsidP="006A1D39">
      <w:pPr>
        <w:pStyle w:val="FootnoteText"/>
        <w:ind w:firstLine="567"/>
        <w:jc w:val="both"/>
        <w:rPr>
          <w:rFonts w:ascii="Times New Roman" w:hAnsi="Times New Roman"/>
          <w:i/>
          <w:iCs/>
        </w:rPr>
      </w:pPr>
      <w:r w:rsidRPr="006A1D39">
        <w:rPr>
          <w:rFonts w:ascii="Times New Roman" w:hAnsi="Times New Roman"/>
          <w:i/>
          <w:iCs/>
        </w:rPr>
        <w:t xml:space="preserve">1. Thông tư này quy định chế độ quản lý, tính hao mòn, khấu hao tài sản cố định tại cơ quan, tổ chức, đơn vị và tài sản cố định do Nhà nước giao cho doanh nghiệp quản lý không tính thành phần vốn nhà </w:t>
      </w:r>
      <w:r>
        <w:rPr>
          <w:rFonts w:ascii="Times New Roman" w:hAnsi="Times New Roman"/>
          <w:i/>
          <w:iCs/>
        </w:rPr>
        <w:t>nước tại doanh nghiệp; bao gồm:</w:t>
      </w:r>
    </w:p>
    <w:p w14:paraId="4D24D7CB" w14:textId="4FC7F2D5" w:rsidR="006A1D39" w:rsidRPr="006A1D39" w:rsidRDefault="006A1D39" w:rsidP="006A1D39">
      <w:pPr>
        <w:pStyle w:val="FootnoteText"/>
        <w:ind w:firstLine="567"/>
        <w:jc w:val="both"/>
        <w:rPr>
          <w:rFonts w:ascii="Times New Roman" w:hAnsi="Times New Roman"/>
          <w:i/>
          <w:iCs/>
        </w:rPr>
      </w:pPr>
      <w:r w:rsidRPr="006A1D39">
        <w:rPr>
          <w:rFonts w:ascii="Times New Roman" w:hAnsi="Times New Roman"/>
          <w:i/>
          <w:iCs/>
        </w:rPr>
        <w:t>a) Tài sản cố định tại cơ quan nhà nước, đơn vị sự nghiệp công lập, đơn vị lực lượng vũ trang nhân dân, cơ quan Đảng Cộng sản Việt Nam, Mặt trận Tổ quốc Việt Nam (bao gồm c</w:t>
      </w:r>
      <w:r>
        <w:rPr>
          <w:rFonts w:ascii="Times New Roman" w:hAnsi="Times New Roman"/>
          <w:i/>
          <w:iCs/>
        </w:rPr>
        <w:t>ác tổ chức chính trị - xã hội).</w:t>
      </w:r>
    </w:p>
    <w:p w14:paraId="159E56B3" w14:textId="71A7CD35" w:rsidR="006A1D39" w:rsidRPr="006A1D39" w:rsidRDefault="006A1D39" w:rsidP="006A1D39">
      <w:pPr>
        <w:pStyle w:val="FootnoteText"/>
        <w:ind w:firstLine="567"/>
        <w:jc w:val="both"/>
        <w:rPr>
          <w:rFonts w:ascii="Times New Roman" w:hAnsi="Times New Roman"/>
          <w:i/>
          <w:iCs/>
        </w:rPr>
      </w:pPr>
      <w:r w:rsidRPr="006A1D39">
        <w:rPr>
          <w:rFonts w:ascii="Times New Roman" w:hAnsi="Times New Roman"/>
          <w:i/>
          <w:iCs/>
        </w:rPr>
        <w:t xml:space="preserve">b) Tài sản cố định của tổ chức tài chính nhà nước ngoài ngân sách được áp dụng theo cơ chế tài chính, cơ chế quản lý tài sản của đơn vị sự nghiệp </w:t>
      </w:r>
      <w:r>
        <w:rPr>
          <w:rFonts w:ascii="Times New Roman" w:hAnsi="Times New Roman"/>
          <w:i/>
          <w:iCs/>
        </w:rPr>
        <w:t>công lập.</w:t>
      </w:r>
    </w:p>
    <w:p w14:paraId="60155030" w14:textId="71BC7CBB" w:rsidR="006A1D39" w:rsidRPr="006A1D39" w:rsidRDefault="006A1D39" w:rsidP="006A1D39">
      <w:pPr>
        <w:pStyle w:val="FootnoteText"/>
        <w:ind w:firstLine="567"/>
        <w:jc w:val="both"/>
        <w:rPr>
          <w:rFonts w:ascii="Times New Roman" w:hAnsi="Times New Roman"/>
          <w:i/>
          <w:iCs/>
        </w:rPr>
      </w:pPr>
      <w:r w:rsidRPr="006A1D39">
        <w:rPr>
          <w:rFonts w:ascii="Times New Roman" w:hAnsi="Times New Roman"/>
          <w:i/>
          <w:iCs/>
        </w:rPr>
        <w:t>c) Tài sản cố định là trụ sở làm việc, cơ sở hoạt động sự nghiệp của tổ chức chính trị xã hội - nghề nghiệp, tổ chức xã hội, tổ chức xã hội - nghề nghiệp, tổ chức khác được thành lập theo quy định của pháp luật về hội (bao gồm cả tổ chức hội do Đảng, Nhà nước giao nhiệm vụ trực thuộc Mặt trận Tổ quốc Việt Nam) quy định tại khoản 1 Điều 69, khoản 2 Điều 70 của Luật</w:t>
      </w:r>
      <w:r>
        <w:rPr>
          <w:rFonts w:ascii="Times New Roman" w:hAnsi="Times New Roman"/>
          <w:i/>
          <w:iCs/>
        </w:rPr>
        <w:t xml:space="preserve"> Quản lý, sử dụng tài sản công.</w:t>
      </w:r>
    </w:p>
    <w:p w14:paraId="635BFDCA" w14:textId="2CB22A90" w:rsidR="00D06662" w:rsidRPr="00D06662" w:rsidRDefault="006A1D39" w:rsidP="006A1D39">
      <w:pPr>
        <w:pStyle w:val="FootnoteText"/>
        <w:ind w:firstLine="567"/>
        <w:jc w:val="both"/>
        <w:rPr>
          <w:rFonts w:ascii="Times New Roman" w:hAnsi="Times New Roman"/>
          <w:i/>
          <w:iCs/>
        </w:rPr>
      </w:pPr>
      <w:r w:rsidRPr="006A1D39">
        <w:rPr>
          <w:rFonts w:ascii="Times New Roman" w:hAnsi="Times New Roman"/>
          <w:i/>
          <w:iCs/>
        </w:rPr>
        <w:t>d) Tài sản cố định do Nhà nước giao cho doanh nghiệp quản lý không tính thành phần vốn nhà nước tại doanh nghiệp.</w:t>
      </w:r>
      <w:r w:rsidR="00D06662">
        <w:rPr>
          <w:rFonts w:ascii="Times New Roman" w:hAnsi="Times New Roman"/>
          <w:i/>
          <w:iCs/>
        </w:rPr>
        <w:t>”</w:t>
      </w:r>
    </w:p>
    <w:p w14:paraId="37D66931" w14:textId="0B8029B2" w:rsidR="00D06662" w:rsidRPr="00D06662" w:rsidRDefault="00D06662" w:rsidP="00D06662">
      <w:pPr>
        <w:pStyle w:val="FootnoteText"/>
        <w:ind w:firstLine="567"/>
        <w:jc w:val="both"/>
        <w:rPr>
          <w:rFonts w:ascii="Times New Roman" w:hAnsi="Times New Roman"/>
          <w:b/>
          <w:bCs/>
          <w:i/>
          <w:iCs/>
        </w:rPr>
      </w:pPr>
      <w:r>
        <w:rPr>
          <w:rFonts w:ascii="Times New Roman" w:hAnsi="Times New Roman"/>
          <w:b/>
          <w:bCs/>
          <w:i/>
          <w:iCs/>
        </w:rPr>
        <w:t>“</w:t>
      </w:r>
      <w:r w:rsidRPr="00D06662">
        <w:rPr>
          <w:rFonts w:ascii="Times New Roman" w:hAnsi="Times New Roman"/>
          <w:b/>
          <w:bCs/>
          <w:i/>
          <w:iCs/>
        </w:rPr>
        <w:t>Điều 2. Đối tượng áp dụng</w:t>
      </w:r>
    </w:p>
    <w:p w14:paraId="378E4123" w14:textId="77777777" w:rsidR="00D06662" w:rsidRPr="00D06662" w:rsidRDefault="00D06662" w:rsidP="00D06662">
      <w:pPr>
        <w:pStyle w:val="FootnoteText"/>
        <w:ind w:firstLine="567"/>
        <w:jc w:val="both"/>
        <w:rPr>
          <w:rFonts w:ascii="Times New Roman" w:hAnsi="Times New Roman"/>
          <w:i/>
          <w:iCs/>
        </w:rPr>
      </w:pPr>
      <w:r w:rsidRPr="00D06662">
        <w:rPr>
          <w:rFonts w:ascii="Times New Roman" w:hAnsi="Times New Roman"/>
          <w:i/>
          <w:iCs/>
        </w:rPr>
        <w:t>1. Thông tư này áp dụng đối với:</w:t>
      </w:r>
    </w:p>
    <w:p w14:paraId="3CF67921" w14:textId="1B5CC14E" w:rsidR="006A1D39" w:rsidRPr="006A1D39" w:rsidRDefault="006A1D39" w:rsidP="006A1D39">
      <w:pPr>
        <w:pStyle w:val="FootnoteText"/>
        <w:ind w:firstLine="567"/>
        <w:jc w:val="both"/>
        <w:rPr>
          <w:rFonts w:ascii="Times New Roman" w:hAnsi="Times New Roman"/>
          <w:i/>
          <w:iCs/>
        </w:rPr>
      </w:pPr>
      <w:r w:rsidRPr="006A1D39">
        <w:rPr>
          <w:rFonts w:ascii="Times New Roman" w:hAnsi="Times New Roman"/>
          <w:i/>
          <w:iCs/>
        </w:rPr>
        <w:t>a) Cơ quan, tổ chức, đơn vị; gồm: Cơ quan nhà nước, đơn vị sự nghiệp công lập, đơn vị lực lượng vũ trang nhân dân, cơ quan Đảng Cộng sản Việt Nam, Mặt trận Tổ quốc Việt Nam (bao gồm cả tổ chức chính trị - xã hội), các tổ chức được giao quản lý tài sản cố định quy định tại điểm</w:t>
      </w:r>
      <w:r>
        <w:rPr>
          <w:rFonts w:ascii="Times New Roman" w:hAnsi="Times New Roman"/>
          <w:i/>
          <w:iCs/>
        </w:rPr>
        <w:t xml:space="preserve"> c khoản 1 Điều 1 Thông tư này.</w:t>
      </w:r>
    </w:p>
    <w:p w14:paraId="2E9CCDD7" w14:textId="596D61B0" w:rsidR="006A1D39" w:rsidRPr="006A1D39" w:rsidRDefault="006A1D39" w:rsidP="006A1D39">
      <w:pPr>
        <w:pStyle w:val="FootnoteText"/>
        <w:ind w:firstLine="567"/>
        <w:jc w:val="both"/>
        <w:rPr>
          <w:rFonts w:ascii="Times New Roman" w:hAnsi="Times New Roman"/>
          <w:i/>
          <w:iCs/>
        </w:rPr>
      </w:pPr>
      <w:r w:rsidRPr="006A1D39">
        <w:rPr>
          <w:rFonts w:ascii="Times New Roman" w:hAnsi="Times New Roman"/>
          <w:i/>
          <w:iCs/>
        </w:rPr>
        <w:t>b) Các tổ chức tài chính nhà nước ngoài ngân sách được áp dụng theo cơ chế tài chính, cơ chế quản lý tài sản của đơn vị sự nghiệp công lập theo quy định tại điểm b khoản 1 Điều 1 Thông tư này</w:t>
      </w:r>
      <w:r>
        <w:rPr>
          <w:rFonts w:ascii="Times New Roman" w:hAnsi="Times New Roman"/>
          <w:i/>
          <w:iCs/>
        </w:rPr>
        <w:t>.</w:t>
      </w:r>
    </w:p>
    <w:p w14:paraId="68EA3517" w14:textId="50916CE6" w:rsidR="00D06662" w:rsidRDefault="006A1D39" w:rsidP="006A1D39">
      <w:pPr>
        <w:pStyle w:val="FootnoteText"/>
        <w:ind w:firstLine="567"/>
        <w:jc w:val="both"/>
      </w:pPr>
      <w:r w:rsidRPr="006A1D39">
        <w:rPr>
          <w:rFonts w:ascii="Times New Roman" w:hAnsi="Times New Roman"/>
          <w:i/>
          <w:iCs/>
        </w:rPr>
        <w:t>c) Doanh nghiệp được giao quản lý tài sản cố định quy định tại điểm d khoản 1 Điều 1 Thông tư này.</w:t>
      </w:r>
      <w:r w:rsidR="00D06662" w:rsidRPr="00D06662">
        <w:rPr>
          <w:rFonts w:ascii="Times New Roman" w:hAnsi="Times New Roman"/>
          <w:i/>
          <w:iCs/>
        </w:rPr>
        <w:t>.</w:t>
      </w:r>
      <w:r w:rsidR="00D06662">
        <w:rPr>
          <w:rFonts w:ascii="Times New Roman" w:hAnsi="Times New Roman"/>
          <w:i/>
          <w:iC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53811"/>
      <w:docPartObj>
        <w:docPartGallery w:val="Page Numbers (Top of Page)"/>
        <w:docPartUnique/>
      </w:docPartObj>
    </w:sdtPr>
    <w:sdtEndPr>
      <w:rPr>
        <w:noProof/>
      </w:rPr>
    </w:sdtEndPr>
    <w:sdtContent>
      <w:p w14:paraId="08C39969" w14:textId="3E5DD0A3" w:rsidR="00C16FE3" w:rsidRDefault="00F702F4" w:rsidP="00B07EA5">
        <w:pPr>
          <w:pStyle w:val="Header"/>
          <w:jc w:val="center"/>
        </w:pPr>
        <w:r>
          <w:fldChar w:fldCharType="begin"/>
        </w:r>
        <w:r>
          <w:instrText xml:space="preserve"> PAGE   \* MERGEFORMAT </w:instrText>
        </w:r>
        <w:r>
          <w:fldChar w:fldCharType="separate"/>
        </w:r>
        <w:r w:rsidR="001E3F60">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CA2"/>
    <w:multiLevelType w:val="hybridMultilevel"/>
    <w:tmpl w:val="C7048658"/>
    <w:lvl w:ilvl="0" w:tplc="B220F1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42105"/>
    <w:multiLevelType w:val="hybridMultilevel"/>
    <w:tmpl w:val="F90CEFC4"/>
    <w:lvl w:ilvl="0" w:tplc="88E892F2">
      <w:start w:val="1"/>
      <w:numFmt w:val="upperRoman"/>
      <w:lvlText w:val="%1."/>
      <w:lvlJc w:val="left"/>
      <w:pPr>
        <w:ind w:left="1213" w:hanging="72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 w15:restartNumberingAfterBreak="0">
    <w:nsid w:val="4FD617E2"/>
    <w:multiLevelType w:val="hybridMultilevel"/>
    <w:tmpl w:val="32C4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E18A8"/>
    <w:multiLevelType w:val="hybridMultilevel"/>
    <w:tmpl w:val="FDD8E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02DD3"/>
    <w:multiLevelType w:val="hybridMultilevel"/>
    <w:tmpl w:val="3DF650DA"/>
    <w:lvl w:ilvl="0" w:tplc="0BFAF042">
      <w:start w:val="2"/>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803BEC"/>
    <w:multiLevelType w:val="multilevel"/>
    <w:tmpl w:val="F29042AC"/>
    <w:lvl w:ilvl="0">
      <w:start w:val="1"/>
      <w:numFmt w:val="decimal"/>
      <w:lvlText w:val="%1."/>
      <w:lvlJc w:val="left"/>
      <w:pPr>
        <w:ind w:left="360" w:hanging="360"/>
      </w:pPr>
      <w:rPr>
        <w:rFonts w:hint="default"/>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4375B0"/>
    <w:multiLevelType w:val="multilevel"/>
    <w:tmpl w:val="0409001F"/>
    <w:lvl w:ilvl="0">
      <w:start w:val="1"/>
      <w:numFmt w:val="decimal"/>
      <w:lvlText w:val="%1."/>
      <w:lvlJc w:val="left"/>
      <w:pPr>
        <w:ind w:left="2345" w:hanging="360"/>
      </w:pPr>
      <w:rPr>
        <w:rFonts w:hint="default"/>
        <w:b w:val="0"/>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6F376EED"/>
    <w:multiLevelType w:val="hybridMultilevel"/>
    <w:tmpl w:val="B3822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CD"/>
    <w:rsid w:val="00001C80"/>
    <w:rsid w:val="000076B4"/>
    <w:rsid w:val="00012A1B"/>
    <w:rsid w:val="000151E1"/>
    <w:rsid w:val="00016850"/>
    <w:rsid w:val="000231FC"/>
    <w:rsid w:val="00026471"/>
    <w:rsid w:val="00033AFE"/>
    <w:rsid w:val="00042DC9"/>
    <w:rsid w:val="00050A4C"/>
    <w:rsid w:val="000626A8"/>
    <w:rsid w:val="000716B2"/>
    <w:rsid w:val="000751C2"/>
    <w:rsid w:val="00077181"/>
    <w:rsid w:val="00087FFB"/>
    <w:rsid w:val="000A3AE4"/>
    <w:rsid w:val="000B1C30"/>
    <w:rsid w:val="000B5392"/>
    <w:rsid w:val="000B5D0B"/>
    <w:rsid w:val="000B62E8"/>
    <w:rsid w:val="000C2978"/>
    <w:rsid w:val="000C32D0"/>
    <w:rsid w:val="000D1A2F"/>
    <w:rsid w:val="000D488B"/>
    <w:rsid w:val="000D7B3C"/>
    <w:rsid w:val="000E02ED"/>
    <w:rsid w:val="000E6579"/>
    <w:rsid w:val="000F5CCD"/>
    <w:rsid w:val="00103B62"/>
    <w:rsid w:val="00104500"/>
    <w:rsid w:val="001063C6"/>
    <w:rsid w:val="00116100"/>
    <w:rsid w:val="001243EE"/>
    <w:rsid w:val="00131AA9"/>
    <w:rsid w:val="00134ADF"/>
    <w:rsid w:val="00154DCE"/>
    <w:rsid w:val="001560B5"/>
    <w:rsid w:val="00177D66"/>
    <w:rsid w:val="001900B9"/>
    <w:rsid w:val="00193FDE"/>
    <w:rsid w:val="0019538E"/>
    <w:rsid w:val="00195644"/>
    <w:rsid w:val="00196042"/>
    <w:rsid w:val="001B42C8"/>
    <w:rsid w:val="001B5882"/>
    <w:rsid w:val="001C19B7"/>
    <w:rsid w:val="001C3AE2"/>
    <w:rsid w:val="001C7294"/>
    <w:rsid w:val="001E16C9"/>
    <w:rsid w:val="001E3F60"/>
    <w:rsid w:val="00200E20"/>
    <w:rsid w:val="002039BC"/>
    <w:rsid w:val="00206438"/>
    <w:rsid w:val="00213A21"/>
    <w:rsid w:val="00222AD2"/>
    <w:rsid w:val="00223BE1"/>
    <w:rsid w:val="002242AF"/>
    <w:rsid w:val="0022611B"/>
    <w:rsid w:val="002312C3"/>
    <w:rsid w:val="00234C04"/>
    <w:rsid w:val="00240413"/>
    <w:rsid w:val="00243C91"/>
    <w:rsid w:val="00246403"/>
    <w:rsid w:val="00265E6E"/>
    <w:rsid w:val="00274240"/>
    <w:rsid w:val="00277A20"/>
    <w:rsid w:val="00277B9E"/>
    <w:rsid w:val="00284A74"/>
    <w:rsid w:val="00286749"/>
    <w:rsid w:val="00294A1F"/>
    <w:rsid w:val="002970D6"/>
    <w:rsid w:val="002A002E"/>
    <w:rsid w:val="002B24D1"/>
    <w:rsid w:val="002B545C"/>
    <w:rsid w:val="002D3A03"/>
    <w:rsid w:val="002D6233"/>
    <w:rsid w:val="002E0C35"/>
    <w:rsid w:val="002F0C96"/>
    <w:rsid w:val="002F503D"/>
    <w:rsid w:val="00300A5E"/>
    <w:rsid w:val="00301A4B"/>
    <w:rsid w:val="00302CB7"/>
    <w:rsid w:val="00304A36"/>
    <w:rsid w:val="003066D0"/>
    <w:rsid w:val="00314F5B"/>
    <w:rsid w:val="00316C1A"/>
    <w:rsid w:val="00327B2D"/>
    <w:rsid w:val="003360BC"/>
    <w:rsid w:val="00336BDE"/>
    <w:rsid w:val="00336E93"/>
    <w:rsid w:val="003411C5"/>
    <w:rsid w:val="00346A15"/>
    <w:rsid w:val="00356E5F"/>
    <w:rsid w:val="00363436"/>
    <w:rsid w:val="0036372C"/>
    <w:rsid w:val="00382B62"/>
    <w:rsid w:val="0038625B"/>
    <w:rsid w:val="003874DB"/>
    <w:rsid w:val="003A345F"/>
    <w:rsid w:val="003B01B7"/>
    <w:rsid w:val="003B6013"/>
    <w:rsid w:val="003B79C2"/>
    <w:rsid w:val="003D18D6"/>
    <w:rsid w:val="003D2197"/>
    <w:rsid w:val="004000AA"/>
    <w:rsid w:val="0040171E"/>
    <w:rsid w:val="00403567"/>
    <w:rsid w:val="00416650"/>
    <w:rsid w:val="00423C39"/>
    <w:rsid w:val="00462D2D"/>
    <w:rsid w:val="00467053"/>
    <w:rsid w:val="00472884"/>
    <w:rsid w:val="00475318"/>
    <w:rsid w:val="00482275"/>
    <w:rsid w:val="004858A6"/>
    <w:rsid w:val="004870DF"/>
    <w:rsid w:val="00487D29"/>
    <w:rsid w:val="004A4945"/>
    <w:rsid w:val="004A5D1F"/>
    <w:rsid w:val="004B1D29"/>
    <w:rsid w:val="004B66CB"/>
    <w:rsid w:val="004C3B80"/>
    <w:rsid w:val="004C7BE7"/>
    <w:rsid w:val="004D53F5"/>
    <w:rsid w:val="004E3BCD"/>
    <w:rsid w:val="004F4593"/>
    <w:rsid w:val="00505F15"/>
    <w:rsid w:val="005060AD"/>
    <w:rsid w:val="005143F3"/>
    <w:rsid w:val="00514956"/>
    <w:rsid w:val="00515675"/>
    <w:rsid w:val="005167F7"/>
    <w:rsid w:val="0053022F"/>
    <w:rsid w:val="00531C0D"/>
    <w:rsid w:val="00531C39"/>
    <w:rsid w:val="00546CC4"/>
    <w:rsid w:val="00551751"/>
    <w:rsid w:val="00562E5E"/>
    <w:rsid w:val="005738FB"/>
    <w:rsid w:val="00576DEF"/>
    <w:rsid w:val="00594F5D"/>
    <w:rsid w:val="005967C4"/>
    <w:rsid w:val="00596D46"/>
    <w:rsid w:val="005A41D4"/>
    <w:rsid w:val="005B35D7"/>
    <w:rsid w:val="005C1E4F"/>
    <w:rsid w:val="005D0A6A"/>
    <w:rsid w:val="005D491C"/>
    <w:rsid w:val="005E6886"/>
    <w:rsid w:val="005F38A0"/>
    <w:rsid w:val="005F5817"/>
    <w:rsid w:val="00600608"/>
    <w:rsid w:val="0060451B"/>
    <w:rsid w:val="0060637C"/>
    <w:rsid w:val="00610019"/>
    <w:rsid w:val="00620CE1"/>
    <w:rsid w:val="00621854"/>
    <w:rsid w:val="00625887"/>
    <w:rsid w:val="0062750C"/>
    <w:rsid w:val="006310BB"/>
    <w:rsid w:val="00641A6D"/>
    <w:rsid w:val="006427FC"/>
    <w:rsid w:val="00651270"/>
    <w:rsid w:val="006723FD"/>
    <w:rsid w:val="00674ABB"/>
    <w:rsid w:val="006A1D39"/>
    <w:rsid w:val="006C104C"/>
    <w:rsid w:val="006D0552"/>
    <w:rsid w:val="006D3EF7"/>
    <w:rsid w:val="006D5EC9"/>
    <w:rsid w:val="006E4633"/>
    <w:rsid w:val="007129BA"/>
    <w:rsid w:val="0071600B"/>
    <w:rsid w:val="00725DF5"/>
    <w:rsid w:val="00727E2B"/>
    <w:rsid w:val="00730BC0"/>
    <w:rsid w:val="00732D9B"/>
    <w:rsid w:val="00742B50"/>
    <w:rsid w:val="00747C9E"/>
    <w:rsid w:val="00754B9A"/>
    <w:rsid w:val="0076217A"/>
    <w:rsid w:val="00763E1F"/>
    <w:rsid w:val="00767BF1"/>
    <w:rsid w:val="0077454D"/>
    <w:rsid w:val="007746F1"/>
    <w:rsid w:val="00776CAC"/>
    <w:rsid w:val="00777728"/>
    <w:rsid w:val="00780837"/>
    <w:rsid w:val="007810E3"/>
    <w:rsid w:val="00791D93"/>
    <w:rsid w:val="007B33C7"/>
    <w:rsid w:val="007B4EB9"/>
    <w:rsid w:val="007C7872"/>
    <w:rsid w:val="007D251F"/>
    <w:rsid w:val="007E42E5"/>
    <w:rsid w:val="007E53DD"/>
    <w:rsid w:val="007E7911"/>
    <w:rsid w:val="007F490C"/>
    <w:rsid w:val="0081675A"/>
    <w:rsid w:val="00820B0A"/>
    <w:rsid w:val="0082161C"/>
    <w:rsid w:val="00823021"/>
    <w:rsid w:val="0084726A"/>
    <w:rsid w:val="00860D50"/>
    <w:rsid w:val="00870FB7"/>
    <w:rsid w:val="008929B9"/>
    <w:rsid w:val="008B1933"/>
    <w:rsid w:val="008B7959"/>
    <w:rsid w:val="008C270B"/>
    <w:rsid w:val="008E6977"/>
    <w:rsid w:val="008F0B31"/>
    <w:rsid w:val="00901725"/>
    <w:rsid w:val="00903B4B"/>
    <w:rsid w:val="0091436F"/>
    <w:rsid w:val="00920C37"/>
    <w:rsid w:val="00921C9F"/>
    <w:rsid w:val="00922526"/>
    <w:rsid w:val="00930EC4"/>
    <w:rsid w:val="00957A0D"/>
    <w:rsid w:val="009619F7"/>
    <w:rsid w:val="00964720"/>
    <w:rsid w:val="0097247E"/>
    <w:rsid w:val="00973A0C"/>
    <w:rsid w:val="00973E25"/>
    <w:rsid w:val="009818A8"/>
    <w:rsid w:val="00983F02"/>
    <w:rsid w:val="00985A4C"/>
    <w:rsid w:val="00987350"/>
    <w:rsid w:val="00994AC5"/>
    <w:rsid w:val="009960F2"/>
    <w:rsid w:val="009A56FE"/>
    <w:rsid w:val="009A5B93"/>
    <w:rsid w:val="009B78FB"/>
    <w:rsid w:val="009C04DD"/>
    <w:rsid w:val="009C0AEB"/>
    <w:rsid w:val="009C0D94"/>
    <w:rsid w:val="009C42D3"/>
    <w:rsid w:val="009D4426"/>
    <w:rsid w:val="009F56EA"/>
    <w:rsid w:val="009F7C34"/>
    <w:rsid w:val="00A11321"/>
    <w:rsid w:val="00A22BCA"/>
    <w:rsid w:val="00A31790"/>
    <w:rsid w:val="00A41C7E"/>
    <w:rsid w:val="00A44875"/>
    <w:rsid w:val="00A47DA8"/>
    <w:rsid w:val="00A53414"/>
    <w:rsid w:val="00A547B0"/>
    <w:rsid w:val="00A60BE2"/>
    <w:rsid w:val="00A63C34"/>
    <w:rsid w:val="00A80007"/>
    <w:rsid w:val="00A81A2D"/>
    <w:rsid w:val="00A8555F"/>
    <w:rsid w:val="00A96146"/>
    <w:rsid w:val="00AA69C7"/>
    <w:rsid w:val="00AB5F1E"/>
    <w:rsid w:val="00AB7353"/>
    <w:rsid w:val="00AC047F"/>
    <w:rsid w:val="00AC45D0"/>
    <w:rsid w:val="00AD135A"/>
    <w:rsid w:val="00AF0194"/>
    <w:rsid w:val="00B07AF5"/>
    <w:rsid w:val="00B07EA5"/>
    <w:rsid w:val="00B12A29"/>
    <w:rsid w:val="00B174A8"/>
    <w:rsid w:val="00B1750B"/>
    <w:rsid w:val="00B40727"/>
    <w:rsid w:val="00B43FEB"/>
    <w:rsid w:val="00B540BE"/>
    <w:rsid w:val="00B602FA"/>
    <w:rsid w:val="00B625EE"/>
    <w:rsid w:val="00B81B31"/>
    <w:rsid w:val="00BA11A8"/>
    <w:rsid w:val="00BA1664"/>
    <w:rsid w:val="00BA415A"/>
    <w:rsid w:val="00BB160F"/>
    <w:rsid w:val="00BD10E5"/>
    <w:rsid w:val="00BD2767"/>
    <w:rsid w:val="00BE26E9"/>
    <w:rsid w:val="00BF48D1"/>
    <w:rsid w:val="00C00711"/>
    <w:rsid w:val="00C05EF4"/>
    <w:rsid w:val="00C11C19"/>
    <w:rsid w:val="00C16C99"/>
    <w:rsid w:val="00C16FE3"/>
    <w:rsid w:val="00C23C7B"/>
    <w:rsid w:val="00C26D62"/>
    <w:rsid w:val="00C542DB"/>
    <w:rsid w:val="00C566EF"/>
    <w:rsid w:val="00C570F1"/>
    <w:rsid w:val="00C57DA2"/>
    <w:rsid w:val="00C65C53"/>
    <w:rsid w:val="00C9231B"/>
    <w:rsid w:val="00C942B3"/>
    <w:rsid w:val="00CA74DC"/>
    <w:rsid w:val="00CB3F93"/>
    <w:rsid w:val="00CD1A27"/>
    <w:rsid w:val="00CD5FBB"/>
    <w:rsid w:val="00CE17AC"/>
    <w:rsid w:val="00CF6F34"/>
    <w:rsid w:val="00D0243D"/>
    <w:rsid w:val="00D06662"/>
    <w:rsid w:val="00D0797A"/>
    <w:rsid w:val="00D1004C"/>
    <w:rsid w:val="00D11E66"/>
    <w:rsid w:val="00D16497"/>
    <w:rsid w:val="00D23683"/>
    <w:rsid w:val="00D24896"/>
    <w:rsid w:val="00D31798"/>
    <w:rsid w:val="00D32108"/>
    <w:rsid w:val="00D409B4"/>
    <w:rsid w:val="00D42168"/>
    <w:rsid w:val="00D43E91"/>
    <w:rsid w:val="00D524DB"/>
    <w:rsid w:val="00D724BD"/>
    <w:rsid w:val="00D77CF4"/>
    <w:rsid w:val="00D83A84"/>
    <w:rsid w:val="00D86A1C"/>
    <w:rsid w:val="00D92489"/>
    <w:rsid w:val="00D94056"/>
    <w:rsid w:val="00DA0A77"/>
    <w:rsid w:val="00DA55A2"/>
    <w:rsid w:val="00DB563A"/>
    <w:rsid w:val="00DB7554"/>
    <w:rsid w:val="00DB7FA0"/>
    <w:rsid w:val="00DC208E"/>
    <w:rsid w:val="00DD1A1E"/>
    <w:rsid w:val="00DE0468"/>
    <w:rsid w:val="00E201C6"/>
    <w:rsid w:val="00E30E5D"/>
    <w:rsid w:val="00E36220"/>
    <w:rsid w:val="00E41605"/>
    <w:rsid w:val="00E843C1"/>
    <w:rsid w:val="00E97E77"/>
    <w:rsid w:val="00EA1B32"/>
    <w:rsid w:val="00EA67B3"/>
    <w:rsid w:val="00EB686B"/>
    <w:rsid w:val="00EB726F"/>
    <w:rsid w:val="00ED7FED"/>
    <w:rsid w:val="00EE3C89"/>
    <w:rsid w:val="00EF48DC"/>
    <w:rsid w:val="00F11BE4"/>
    <w:rsid w:val="00F42B5F"/>
    <w:rsid w:val="00F436B8"/>
    <w:rsid w:val="00F46089"/>
    <w:rsid w:val="00F50E5F"/>
    <w:rsid w:val="00F5193C"/>
    <w:rsid w:val="00F5701A"/>
    <w:rsid w:val="00F60DCD"/>
    <w:rsid w:val="00F702F4"/>
    <w:rsid w:val="00F7255F"/>
    <w:rsid w:val="00F72D9F"/>
    <w:rsid w:val="00F92E0E"/>
    <w:rsid w:val="00F9306A"/>
    <w:rsid w:val="00F96114"/>
    <w:rsid w:val="00F97C90"/>
    <w:rsid w:val="00FC4030"/>
    <w:rsid w:val="00FD6A12"/>
    <w:rsid w:val="00FE6D96"/>
    <w:rsid w:val="00FF1139"/>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60889"/>
  <w15:docId w15:val="{D1FF3CFD-4A35-42DF-B863-401743BA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CD"/>
    <w:pPr>
      <w:spacing w:after="0" w:line="240" w:lineRule="auto"/>
    </w:pPr>
    <w:rPr>
      <w:kern w:val="0"/>
    </w:rPr>
  </w:style>
  <w:style w:type="paragraph" w:styleId="Heading1">
    <w:name w:val="heading 1"/>
    <w:basedOn w:val="Normal"/>
    <w:next w:val="Normal"/>
    <w:link w:val="Heading1Char"/>
    <w:uiPriority w:val="9"/>
    <w:qFormat/>
    <w:rsid w:val="00F60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0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DC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60D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0D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0D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0D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0D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0D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0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DC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60D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0D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0D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F60D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D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D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DC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60D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0DCD"/>
    <w:pPr>
      <w:spacing w:before="160"/>
      <w:jc w:val="center"/>
    </w:pPr>
    <w:rPr>
      <w:i/>
      <w:iCs/>
      <w:color w:val="404040" w:themeColor="text1" w:themeTint="BF"/>
    </w:rPr>
  </w:style>
  <w:style w:type="character" w:customStyle="1" w:styleId="QuoteChar">
    <w:name w:val="Quote Char"/>
    <w:basedOn w:val="DefaultParagraphFont"/>
    <w:link w:val="Quote"/>
    <w:uiPriority w:val="29"/>
    <w:rsid w:val="00F60DCD"/>
    <w:rPr>
      <w:i/>
      <w:iCs/>
      <w:color w:val="404040" w:themeColor="text1" w:themeTint="BF"/>
    </w:rPr>
  </w:style>
  <w:style w:type="paragraph" w:styleId="ListParagraph">
    <w:name w:val="List Paragraph"/>
    <w:basedOn w:val="Normal"/>
    <w:uiPriority w:val="34"/>
    <w:qFormat/>
    <w:rsid w:val="00F60DCD"/>
    <w:pPr>
      <w:ind w:left="720"/>
      <w:contextualSpacing/>
    </w:pPr>
  </w:style>
  <w:style w:type="character" w:styleId="IntenseEmphasis">
    <w:name w:val="Intense Emphasis"/>
    <w:basedOn w:val="DefaultParagraphFont"/>
    <w:uiPriority w:val="21"/>
    <w:qFormat/>
    <w:rsid w:val="00F60DCD"/>
    <w:rPr>
      <w:i/>
      <w:iCs/>
      <w:color w:val="2F5496" w:themeColor="accent1" w:themeShade="BF"/>
    </w:rPr>
  </w:style>
  <w:style w:type="paragraph" w:styleId="IntenseQuote">
    <w:name w:val="Intense Quote"/>
    <w:basedOn w:val="Normal"/>
    <w:next w:val="Normal"/>
    <w:link w:val="IntenseQuoteChar"/>
    <w:uiPriority w:val="30"/>
    <w:qFormat/>
    <w:rsid w:val="00F60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DCD"/>
    <w:rPr>
      <w:i/>
      <w:iCs/>
      <w:color w:val="2F5496" w:themeColor="accent1" w:themeShade="BF"/>
    </w:rPr>
  </w:style>
  <w:style w:type="character" w:styleId="IntenseReference">
    <w:name w:val="Intense Reference"/>
    <w:basedOn w:val="DefaultParagraphFont"/>
    <w:uiPriority w:val="32"/>
    <w:qFormat/>
    <w:rsid w:val="00F60DCD"/>
    <w:rPr>
      <w:b/>
      <w:bCs/>
      <w:smallCaps/>
      <w:color w:val="2F5496" w:themeColor="accent1" w:themeShade="BF"/>
      <w:spacing w:val="5"/>
    </w:rPr>
  </w:style>
  <w:style w:type="paragraph" w:styleId="NormalWeb">
    <w:name w:val="Normal (Web)"/>
    <w:basedOn w:val="Normal"/>
    <w:link w:val="NormalWebChar"/>
    <w:uiPriority w:val="99"/>
    <w:unhideWhenUsed/>
    <w:rsid w:val="00F60DC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F60DCD"/>
    <w:pPr>
      <w:tabs>
        <w:tab w:val="center" w:pos="4680"/>
        <w:tab w:val="right" w:pos="9360"/>
      </w:tabs>
    </w:pPr>
  </w:style>
  <w:style w:type="character" w:customStyle="1" w:styleId="HeaderChar">
    <w:name w:val="Header Char"/>
    <w:basedOn w:val="DefaultParagraphFont"/>
    <w:link w:val="Header"/>
    <w:uiPriority w:val="99"/>
    <w:rsid w:val="00F60DCD"/>
    <w:rPr>
      <w:kern w:val="0"/>
    </w:rPr>
  </w:style>
  <w:style w:type="table" w:styleId="TableGrid">
    <w:name w:val="Table Grid"/>
    <w:basedOn w:val="TableNormal"/>
    <w:uiPriority w:val="39"/>
    <w:rsid w:val="00F60DC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F60DCD"/>
    <w:rPr>
      <w:rFonts w:eastAsia="Times New Roman" w:cs="Times New Roman"/>
      <w:kern w:val="0"/>
      <w:sz w:val="24"/>
      <w:szCs w:val="24"/>
    </w:rPr>
  </w:style>
  <w:style w:type="paragraph" w:styleId="Footer">
    <w:name w:val="footer"/>
    <w:basedOn w:val="Normal"/>
    <w:link w:val="FooterChar"/>
    <w:uiPriority w:val="99"/>
    <w:unhideWhenUsed/>
    <w:rsid w:val="00B07EA5"/>
    <w:pPr>
      <w:tabs>
        <w:tab w:val="center" w:pos="4680"/>
        <w:tab w:val="right" w:pos="9360"/>
      </w:tabs>
    </w:pPr>
  </w:style>
  <w:style w:type="character" w:customStyle="1" w:styleId="FooterChar">
    <w:name w:val="Footer Char"/>
    <w:basedOn w:val="DefaultParagraphFont"/>
    <w:link w:val="Footer"/>
    <w:uiPriority w:val="99"/>
    <w:rsid w:val="00B07EA5"/>
    <w:rPr>
      <w:kern w:val="0"/>
    </w:rPr>
  </w:style>
  <w:style w:type="character" w:customStyle="1" w:styleId="Vnbnnidung2">
    <w:name w:val="Văn bản nội dung (2)_"/>
    <w:basedOn w:val="DefaultParagraphFont"/>
    <w:link w:val="Vnbnnidung20"/>
    <w:rsid w:val="006723FD"/>
    <w:rPr>
      <w:rFonts w:eastAsia="Times New Roman" w:cs="Times New Roman"/>
      <w:sz w:val="26"/>
      <w:szCs w:val="26"/>
      <w:shd w:val="clear" w:color="auto" w:fill="FFFFFF"/>
    </w:rPr>
  </w:style>
  <w:style w:type="paragraph" w:customStyle="1" w:styleId="Vnbnnidung20">
    <w:name w:val="Văn bản nội dung (2)"/>
    <w:basedOn w:val="Normal"/>
    <w:link w:val="Vnbnnidung2"/>
    <w:rsid w:val="006723FD"/>
    <w:pPr>
      <w:widowControl w:val="0"/>
      <w:shd w:val="clear" w:color="auto" w:fill="FFFFFF"/>
      <w:spacing w:before="120" w:after="120" w:line="328" w:lineRule="exact"/>
      <w:jc w:val="both"/>
    </w:pPr>
    <w:rPr>
      <w:rFonts w:eastAsia="Times New Roman" w:cs="Times New Roman"/>
      <w:kern w:val="2"/>
      <w:sz w:val="26"/>
      <w:szCs w:val="26"/>
    </w:rPr>
  </w:style>
  <w:style w:type="character" w:customStyle="1" w:styleId="Vnbnnidung">
    <w:name w:val="Văn bản nội dung_"/>
    <w:link w:val="Vnbnnidung0"/>
    <w:uiPriority w:val="99"/>
    <w:locked/>
    <w:rsid w:val="009C0AEB"/>
    <w:rPr>
      <w:sz w:val="26"/>
      <w:szCs w:val="26"/>
    </w:rPr>
  </w:style>
  <w:style w:type="paragraph" w:customStyle="1" w:styleId="Vnbnnidung0">
    <w:name w:val="Văn bản nội dung"/>
    <w:basedOn w:val="Normal"/>
    <w:link w:val="Vnbnnidung"/>
    <w:uiPriority w:val="99"/>
    <w:rsid w:val="009C0AEB"/>
    <w:pPr>
      <w:widowControl w:val="0"/>
      <w:spacing w:after="180" w:line="259" w:lineRule="auto"/>
      <w:ind w:firstLine="400"/>
    </w:pPr>
    <w:rPr>
      <w:kern w:val="2"/>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
    <w:basedOn w:val="Normal"/>
    <w:link w:val="FootnoteTextChar"/>
    <w:uiPriority w:val="99"/>
    <w:unhideWhenUsed/>
    <w:qFormat/>
    <w:rsid w:val="00116100"/>
    <w:rPr>
      <w:rFonts w:ascii=".VnTime" w:eastAsia="Times New Roman" w:hAnsi=".VnTime" w:cs="Times New Roman"/>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
    <w:basedOn w:val="DefaultParagraphFont"/>
    <w:link w:val="FootnoteText"/>
    <w:uiPriority w:val="99"/>
    <w:rsid w:val="00116100"/>
    <w:rPr>
      <w:rFonts w:ascii=".VnTime" w:eastAsia="Times New Roman" w:hAnsi=".VnTime" w:cs="Times New Roman"/>
      <w:kern w:val="0"/>
      <w:sz w:val="20"/>
      <w:szCs w:val="20"/>
      <w14:ligatures w14:val="none"/>
    </w:rPr>
  </w:style>
  <w:style w:type="character" w:styleId="FootnoteReference">
    <w:name w:val="footnote reference"/>
    <w:basedOn w:val="DefaultParagraphFont"/>
    <w:uiPriority w:val="99"/>
    <w:unhideWhenUsed/>
    <w:rsid w:val="00116100"/>
    <w:rPr>
      <w:vertAlign w:val="superscript"/>
    </w:rPr>
  </w:style>
  <w:style w:type="paragraph" w:styleId="BodyText">
    <w:name w:val="Body Text"/>
    <w:basedOn w:val="Normal"/>
    <w:link w:val="BodyTextChar"/>
    <w:uiPriority w:val="99"/>
    <w:unhideWhenUsed/>
    <w:rsid w:val="00D0243D"/>
    <w:pPr>
      <w:spacing w:before="100" w:beforeAutospacing="1" w:afterAutospacing="1"/>
    </w:pPr>
    <w:rPr>
      <w:rFonts w:eastAsia="Times New Roman" w:cs="Times New Roman"/>
      <w:sz w:val="24"/>
      <w:szCs w:val="20"/>
      <w:lang w:val="x-none" w:eastAsia="x-none"/>
      <w14:ligatures w14:val="none"/>
    </w:rPr>
  </w:style>
  <w:style w:type="character" w:customStyle="1" w:styleId="BodyTextChar">
    <w:name w:val="Body Text Char"/>
    <w:basedOn w:val="DefaultParagraphFont"/>
    <w:link w:val="BodyText"/>
    <w:uiPriority w:val="99"/>
    <w:rsid w:val="00D0243D"/>
    <w:rPr>
      <w:rFonts w:eastAsia="Times New Roman" w:cs="Times New Roman"/>
      <w:kern w:val="0"/>
      <w:sz w:val="24"/>
      <w:szCs w:val="20"/>
      <w:lang w:val="x-none" w:eastAsia="x-none"/>
      <w14:ligatures w14:val="none"/>
    </w:rPr>
  </w:style>
  <w:style w:type="character" w:customStyle="1" w:styleId="fontstyle01">
    <w:name w:val="fontstyle01"/>
    <w:basedOn w:val="DefaultParagraphFont"/>
    <w:rsid w:val="00D0243D"/>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3591">
      <w:bodyDiv w:val="1"/>
      <w:marLeft w:val="0"/>
      <w:marRight w:val="0"/>
      <w:marTop w:val="0"/>
      <w:marBottom w:val="0"/>
      <w:divBdr>
        <w:top w:val="none" w:sz="0" w:space="0" w:color="auto"/>
        <w:left w:val="none" w:sz="0" w:space="0" w:color="auto"/>
        <w:bottom w:val="none" w:sz="0" w:space="0" w:color="auto"/>
        <w:right w:val="none" w:sz="0" w:space="0" w:color="auto"/>
      </w:divBdr>
    </w:div>
    <w:div w:id="137303919">
      <w:bodyDiv w:val="1"/>
      <w:marLeft w:val="0"/>
      <w:marRight w:val="0"/>
      <w:marTop w:val="0"/>
      <w:marBottom w:val="0"/>
      <w:divBdr>
        <w:top w:val="none" w:sz="0" w:space="0" w:color="auto"/>
        <w:left w:val="none" w:sz="0" w:space="0" w:color="auto"/>
        <w:bottom w:val="none" w:sz="0" w:space="0" w:color="auto"/>
        <w:right w:val="none" w:sz="0" w:space="0" w:color="auto"/>
      </w:divBdr>
    </w:div>
    <w:div w:id="260450887">
      <w:bodyDiv w:val="1"/>
      <w:marLeft w:val="0"/>
      <w:marRight w:val="0"/>
      <w:marTop w:val="0"/>
      <w:marBottom w:val="0"/>
      <w:divBdr>
        <w:top w:val="none" w:sz="0" w:space="0" w:color="auto"/>
        <w:left w:val="none" w:sz="0" w:space="0" w:color="auto"/>
        <w:bottom w:val="none" w:sz="0" w:space="0" w:color="auto"/>
        <w:right w:val="none" w:sz="0" w:space="0" w:color="auto"/>
      </w:divBdr>
    </w:div>
    <w:div w:id="387150971">
      <w:bodyDiv w:val="1"/>
      <w:marLeft w:val="0"/>
      <w:marRight w:val="0"/>
      <w:marTop w:val="0"/>
      <w:marBottom w:val="0"/>
      <w:divBdr>
        <w:top w:val="none" w:sz="0" w:space="0" w:color="auto"/>
        <w:left w:val="none" w:sz="0" w:space="0" w:color="auto"/>
        <w:bottom w:val="none" w:sz="0" w:space="0" w:color="auto"/>
        <w:right w:val="none" w:sz="0" w:space="0" w:color="auto"/>
      </w:divBdr>
    </w:div>
    <w:div w:id="398554285">
      <w:bodyDiv w:val="1"/>
      <w:marLeft w:val="0"/>
      <w:marRight w:val="0"/>
      <w:marTop w:val="0"/>
      <w:marBottom w:val="0"/>
      <w:divBdr>
        <w:top w:val="none" w:sz="0" w:space="0" w:color="auto"/>
        <w:left w:val="none" w:sz="0" w:space="0" w:color="auto"/>
        <w:bottom w:val="none" w:sz="0" w:space="0" w:color="auto"/>
        <w:right w:val="none" w:sz="0" w:space="0" w:color="auto"/>
      </w:divBdr>
    </w:div>
    <w:div w:id="445542761">
      <w:bodyDiv w:val="1"/>
      <w:marLeft w:val="0"/>
      <w:marRight w:val="0"/>
      <w:marTop w:val="0"/>
      <w:marBottom w:val="0"/>
      <w:divBdr>
        <w:top w:val="none" w:sz="0" w:space="0" w:color="auto"/>
        <w:left w:val="none" w:sz="0" w:space="0" w:color="auto"/>
        <w:bottom w:val="none" w:sz="0" w:space="0" w:color="auto"/>
        <w:right w:val="none" w:sz="0" w:space="0" w:color="auto"/>
      </w:divBdr>
    </w:div>
    <w:div w:id="489635241">
      <w:bodyDiv w:val="1"/>
      <w:marLeft w:val="0"/>
      <w:marRight w:val="0"/>
      <w:marTop w:val="0"/>
      <w:marBottom w:val="0"/>
      <w:divBdr>
        <w:top w:val="none" w:sz="0" w:space="0" w:color="auto"/>
        <w:left w:val="none" w:sz="0" w:space="0" w:color="auto"/>
        <w:bottom w:val="none" w:sz="0" w:space="0" w:color="auto"/>
        <w:right w:val="none" w:sz="0" w:space="0" w:color="auto"/>
      </w:divBdr>
    </w:div>
    <w:div w:id="935359041">
      <w:bodyDiv w:val="1"/>
      <w:marLeft w:val="0"/>
      <w:marRight w:val="0"/>
      <w:marTop w:val="0"/>
      <w:marBottom w:val="0"/>
      <w:divBdr>
        <w:top w:val="none" w:sz="0" w:space="0" w:color="auto"/>
        <w:left w:val="none" w:sz="0" w:space="0" w:color="auto"/>
        <w:bottom w:val="none" w:sz="0" w:space="0" w:color="auto"/>
        <w:right w:val="none" w:sz="0" w:space="0" w:color="auto"/>
      </w:divBdr>
    </w:div>
    <w:div w:id="939026454">
      <w:bodyDiv w:val="1"/>
      <w:marLeft w:val="0"/>
      <w:marRight w:val="0"/>
      <w:marTop w:val="0"/>
      <w:marBottom w:val="0"/>
      <w:divBdr>
        <w:top w:val="none" w:sz="0" w:space="0" w:color="auto"/>
        <w:left w:val="none" w:sz="0" w:space="0" w:color="auto"/>
        <w:bottom w:val="none" w:sz="0" w:space="0" w:color="auto"/>
        <w:right w:val="none" w:sz="0" w:space="0" w:color="auto"/>
      </w:divBdr>
    </w:div>
    <w:div w:id="1235627862">
      <w:bodyDiv w:val="1"/>
      <w:marLeft w:val="0"/>
      <w:marRight w:val="0"/>
      <w:marTop w:val="0"/>
      <w:marBottom w:val="0"/>
      <w:divBdr>
        <w:top w:val="none" w:sz="0" w:space="0" w:color="auto"/>
        <w:left w:val="none" w:sz="0" w:space="0" w:color="auto"/>
        <w:bottom w:val="none" w:sz="0" w:space="0" w:color="auto"/>
        <w:right w:val="none" w:sz="0" w:space="0" w:color="auto"/>
      </w:divBdr>
    </w:div>
    <w:div w:id="1267957411">
      <w:bodyDiv w:val="1"/>
      <w:marLeft w:val="0"/>
      <w:marRight w:val="0"/>
      <w:marTop w:val="0"/>
      <w:marBottom w:val="0"/>
      <w:divBdr>
        <w:top w:val="none" w:sz="0" w:space="0" w:color="auto"/>
        <w:left w:val="none" w:sz="0" w:space="0" w:color="auto"/>
        <w:bottom w:val="none" w:sz="0" w:space="0" w:color="auto"/>
        <w:right w:val="none" w:sz="0" w:space="0" w:color="auto"/>
      </w:divBdr>
    </w:div>
    <w:div w:id="1305771312">
      <w:bodyDiv w:val="1"/>
      <w:marLeft w:val="0"/>
      <w:marRight w:val="0"/>
      <w:marTop w:val="0"/>
      <w:marBottom w:val="0"/>
      <w:divBdr>
        <w:top w:val="none" w:sz="0" w:space="0" w:color="auto"/>
        <w:left w:val="none" w:sz="0" w:space="0" w:color="auto"/>
        <w:bottom w:val="none" w:sz="0" w:space="0" w:color="auto"/>
        <w:right w:val="none" w:sz="0" w:space="0" w:color="auto"/>
      </w:divBdr>
    </w:div>
    <w:div w:id="1398019025">
      <w:bodyDiv w:val="1"/>
      <w:marLeft w:val="0"/>
      <w:marRight w:val="0"/>
      <w:marTop w:val="0"/>
      <w:marBottom w:val="0"/>
      <w:divBdr>
        <w:top w:val="none" w:sz="0" w:space="0" w:color="auto"/>
        <w:left w:val="none" w:sz="0" w:space="0" w:color="auto"/>
        <w:bottom w:val="none" w:sz="0" w:space="0" w:color="auto"/>
        <w:right w:val="none" w:sz="0" w:space="0" w:color="auto"/>
      </w:divBdr>
    </w:div>
    <w:div w:id="1437673044">
      <w:bodyDiv w:val="1"/>
      <w:marLeft w:val="0"/>
      <w:marRight w:val="0"/>
      <w:marTop w:val="0"/>
      <w:marBottom w:val="0"/>
      <w:divBdr>
        <w:top w:val="none" w:sz="0" w:space="0" w:color="auto"/>
        <w:left w:val="none" w:sz="0" w:space="0" w:color="auto"/>
        <w:bottom w:val="none" w:sz="0" w:space="0" w:color="auto"/>
        <w:right w:val="none" w:sz="0" w:space="0" w:color="auto"/>
      </w:divBdr>
    </w:div>
    <w:div w:id="1469081798">
      <w:bodyDiv w:val="1"/>
      <w:marLeft w:val="0"/>
      <w:marRight w:val="0"/>
      <w:marTop w:val="0"/>
      <w:marBottom w:val="0"/>
      <w:divBdr>
        <w:top w:val="none" w:sz="0" w:space="0" w:color="auto"/>
        <w:left w:val="none" w:sz="0" w:space="0" w:color="auto"/>
        <w:bottom w:val="none" w:sz="0" w:space="0" w:color="auto"/>
        <w:right w:val="none" w:sz="0" w:space="0" w:color="auto"/>
      </w:divBdr>
    </w:div>
    <w:div w:id="1667709451">
      <w:bodyDiv w:val="1"/>
      <w:marLeft w:val="0"/>
      <w:marRight w:val="0"/>
      <w:marTop w:val="0"/>
      <w:marBottom w:val="0"/>
      <w:divBdr>
        <w:top w:val="none" w:sz="0" w:space="0" w:color="auto"/>
        <w:left w:val="none" w:sz="0" w:space="0" w:color="auto"/>
        <w:bottom w:val="none" w:sz="0" w:space="0" w:color="auto"/>
        <w:right w:val="none" w:sz="0" w:space="0" w:color="auto"/>
      </w:divBdr>
    </w:div>
    <w:div w:id="1707245553">
      <w:bodyDiv w:val="1"/>
      <w:marLeft w:val="0"/>
      <w:marRight w:val="0"/>
      <w:marTop w:val="0"/>
      <w:marBottom w:val="0"/>
      <w:divBdr>
        <w:top w:val="none" w:sz="0" w:space="0" w:color="auto"/>
        <w:left w:val="none" w:sz="0" w:space="0" w:color="auto"/>
        <w:bottom w:val="none" w:sz="0" w:space="0" w:color="auto"/>
        <w:right w:val="none" w:sz="0" w:space="0" w:color="auto"/>
      </w:divBdr>
    </w:div>
    <w:div w:id="1778014832">
      <w:bodyDiv w:val="1"/>
      <w:marLeft w:val="0"/>
      <w:marRight w:val="0"/>
      <w:marTop w:val="0"/>
      <w:marBottom w:val="0"/>
      <w:divBdr>
        <w:top w:val="none" w:sz="0" w:space="0" w:color="auto"/>
        <w:left w:val="none" w:sz="0" w:space="0" w:color="auto"/>
        <w:bottom w:val="none" w:sz="0" w:space="0" w:color="auto"/>
        <w:right w:val="none" w:sz="0" w:space="0" w:color="auto"/>
      </w:divBdr>
    </w:div>
    <w:div w:id="1825512569">
      <w:bodyDiv w:val="1"/>
      <w:marLeft w:val="0"/>
      <w:marRight w:val="0"/>
      <w:marTop w:val="0"/>
      <w:marBottom w:val="0"/>
      <w:divBdr>
        <w:top w:val="none" w:sz="0" w:space="0" w:color="auto"/>
        <w:left w:val="none" w:sz="0" w:space="0" w:color="auto"/>
        <w:bottom w:val="none" w:sz="0" w:space="0" w:color="auto"/>
        <w:right w:val="none" w:sz="0" w:space="0" w:color="auto"/>
      </w:divBdr>
    </w:div>
    <w:div w:id="2097555841">
      <w:bodyDiv w:val="1"/>
      <w:marLeft w:val="0"/>
      <w:marRight w:val="0"/>
      <w:marTop w:val="0"/>
      <w:marBottom w:val="0"/>
      <w:divBdr>
        <w:top w:val="none" w:sz="0" w:space="0" w:color="auto"/>
        <w:left w:val="none" w:sz="0" w:space="0" w:color="auto"/>
        <w:bottom w:val="none" w:sz="0" w:space="0" w:color="auto"/>
        <w:right w:val="none" w:sz="0" w:space="0" w:color="auto"/>
      </w:divBdr>
    </w:div>
    <w:div w:id="20998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92131-0644-463B-8A24-B72B1FC5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114</cp:revision>
  <cp:lastPrinted>2025-04-24T01:52:00Z</cp:lastPrinted>
  <dcterms:created xsi:type="dcterms:W3CDTF">2025-07-22T05:57:00Z</dcterms:created>
  <dcterms:modified xsi:type="dcterms:W3CDTF">2026-02-26T10:21:00Z</dcterms:modified>
</cp:coreProperties>
</file>